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A4D59" w14:textId="77777777" w:rsidR="00025DA8" w:rsidRDefault="00025DA8" w:rsidP="00025DA8">
      <w:pPr>
        <w:jc w:val="center"/>
        <w:rPr>
          <w:rFonts w:ascii="Arial" w:hAnsi="Arial" w:cs="Arial"/>
          <w:sz w:val="24"/>
        </w:rPr>
      </w:pPr>
    </w:p>
    <w:p w14:paraId="51363190" w14:textId="77777777" w:rsidR="00025DA8" w:rsidRDefault="00025DA8" w:rsidP="00025DA8">
      <w:pPr>
        <w:spacing w:after="0" w:line="240" w:lineRule="auto"/>
        <w:jc w:val="right"/>
        <w:rPr>
          <w:rFonts w:ascii="Century Gothic" w:hAnsi="Century Gothic" w:cs="Arial"/>
          <w:sz w:val="20"/>
          <w:szCs w:val="24"/>
        </w:rPr>
      </w:pPr>
    </w:p>
    <w:p w14:paraId="2718402C" w14:textId="77777777" w:rsidR="00025DA8" w:rsidRDefault="00025DA8" w:rsidP="00025DA8">
      <w:pPr>
        <w:spacing w:after="0" w:line="240" w:lineRule="auto"/>
        <w:jc w:val="right"/>
        <w:rPr>
          <w:rFonts w:ascii="Century Gothic" w:hAnsi="Century Gothic" w:cs="Arial"/>
          <w:sz w:val="20"/>
          <w:szCs w:val="24"/>
        </w:rPr>
      </w:pPr>
    </w:p>
    <w:p w14:paraId="6862B02C" w14:textId="77777777" w:rsidR="00025DA8" w:rsidRDefault="00025DA8" w:rsidP="00025DA8">
      <w:pPr>
        <w:spacing w:after="0" w:line="240" w:lineRule="auto"/>
        <w:jc w:val="right"/>
        <w:rPr>
          <w:rFonts w:ascii="Century Gothic" w:hAnsi="Century Gothic" w:cs="Arial"/>
          <w:sz w:val="20"/>
          <w:szCs w:val="24"/>
        </w:rPr>
      </w:pPr>
    </w:p>
    <w:p w14:paraId="24F2309F" w14:textId="547318FD" w:rsidR="005770D7" w:rsidRDefault="005770D7" w:rsidP="00025DA8">
      <w:pPr>
        <w:jc w:val="center"/>
        <w:rPr>
          <w:rFonts w:ascii="Century Gothic" w:hAnsi="Century Gothic" w:cs="Arial"/>
          <w:sz w:val="20"/>
          <w:szCs w:val="24"/>
        </w:rPr>
      </w:pPr>
    </w:p>
    <w:p w14:paraId="5E927E4C" w14:textId="77777777" w:rsidR="00394E35" w:rsidRPr="00FF4427" w:rsidRDefault="00394E35" w:rsidP="00025DA8">
      <w:pPr>
        <w:jc w:val="center"/>
        <w:rPr>
          <w:rFonts w:ascii="Century Gothic" w:hAnsi="Century Gothic"/>
          <w:b/>
          <w:sz w:val="32"/>
          <w:szCs w:val="24"/>
        </w:rPr>
      </w:pPr>
    </w:p>
    <w:p w14:paraId="6880DEFD" w14:textId="04E83AB9" w:rsidR="00025DA8" w:rsidRDefault="005770D7" w:rsidP="005770D7">
      <w:pPr>
        <w:jc w:val="center"/>
        <w:rPr>
          <w:rFonts w:ascii="Century Gothic" w:hAnsi="Century Gothic"/>
          <w:b/>
          <w:sz w:val="32"/>
          <w:szCs w:val="24"/>
        </w:rPr>
      </w:pPr>
      <w:r w:rsidRPr="005770D7">
        <w:rPr>
          <w:rFonts w:ascii="Century Gothic" w:hAnsi="Century Gothic"/>
          <w:b/>
          <w:sz w:val="32"/>
          <w:szCs w:val="24"/>
        </w:rPr>
        <w:t>PROGRAMAS DE SUBSIDIO, ESTIMULOS Y APOYOS</w:t>
      </w:r>
    </w:p>
    <w:p w14:paraId="5C217025" w14:textId="77777777" w:rsidR="005770D7" w:rsidRPr="005770D7" w:rsidRDefault="005770D7" w:rsidP="005770D7">
      <w:pPr>
        <w:jc w:val="center"/>
        <w:rPr>
          <w:rFonts w:ascii="Century Gothic" w:hAnsi="Century Gothic"/>
          <w:b/>
          <w:sz w:val="32"/>
          <w:szCs w:val="24"/>
        </w:rPr>
      </w:pPr>
    </w:p>
    <w:p w14:paraId="32F78925" w14:textId="77777777" w:rsidR="00025DA8" w:rsidRPr="00FF4427" w:rsidRDefault="00025DA8" w:rsidP="00025DA8">
      <w:pPr>
        <w:jc w:val="both"/>
        <w:rPr>
          <w:rFonts w:ascii="Century Gothic" w:hAnsi="Century Gothic"/>
          <w:sz w:val="24"/>
          <w:szCs w:val="24"/>
        </w:rPr>
      </w:pPr>
      <w:r w:rsidRPr="00FF4427">
        <w:rPr>
          <w:rFonts w:ascii="Century Gothic" w:hAnsi="Century Gothic"/>
          <w:sz w:val="24"/>
          <w:szCs w:val="24"/>
        </w:rPr>
        <w:t>De conformidad con lo establecido en el segundo párrafo del artículo 10 de la Ley de Rendición de Cuentas y Fiscalización Superior del Estado de Coahuila de Zaragoza, establece que por los cuatro trimestres del año las entidades deberán presentar ante el Congreso del Estado sendos informes de avance de gestión financiera, dentro del mes inmediato posterior al periodo que corresponda la información.</w:t>
      </w:r>
    </w:p>
    <w:p w14:paraId="690FEF35" w14:textId="2F51A95A" w:rsidR="005770D7" w:rsidRPr="005770D7" w:rsidRDefault="00025DA8" w:rsidP="005770D7">
      <w:pPr>
        <w:jc w:val="both"/>
        <w:rPr>
          <w:rFonts w:ascii="Century Gothic" w:hAnsi="Century Gothic"/>
          <w:sz w:val="24"/>
          <w:szCs w:val="24"/>
        </w:rPr>
      </w:pPr>
      <w:r w:rsidRPr="00FF4427">
        <w:rPr>
          <w:rFonts w:ascii="Century Gothic" w:hAnsi="Century Gothic"/>
          <w:sz w:val="24"/>
          <w:szCs w:val="24"/>
        </w:rPr>
        <w:t>Por lo anterior,</w:t>
      </w:r>
      <w:r>
        <w:rPr>
          <w:rFonts w:ascii="Century Gothic" w:hAnsi="Century Gothic"/>
          <w:sz w:val="24"/>
          <w:szCs w:val="24"/>
        </w:rPr>
        <w:t xml:space="preserve"> </w:t>
      </w:r>
      <w:r w:rsidRPr="00FF4427">
        <w:rPr>
          <w:rFonts w:ascii="Century Gothic" w:hAnsi="Century Gothic"/>
          <w:sz w:val="24"/>
          <w:szCs w:val="24"/>
        </w:rPr>
        <w:t>este Tribunal de Justicia Administrativa de Coahuila de Zaragoza</w:t>
      </w:r>
      <w:r>
        <w:rPr>
          <w:rFonts w:ascii="Century Gothic" w:hAnsi="Century Gothic"/>
          <w:sz w:val="24"/>
          <w:szCs w:val="24"/>
        </w:rPr>
        <w:t>,</w:t>
      </w:r>
      <w:r w:rsidRPr="00FF4427">
        <w:rPr>
          <w:rFonts w:ascii="Century Gothic" w:hAnsi="Century Gothic"/>
          <w:sz w:val="24"/>
          <w:szCs w:val="24"/>
        </w:rPr>
        <w:t xml:space="preserve"> presentará </w:t>
      </w:r>
      <w:r>
        <w:rPr>
          <w:rFonts w:ascii="Century Gothic" w:hAnsi="Century Gothic"/>
          <w:sz w:val="24"/>
          <w:szCs w:val="24"/>
        </w:rPr>
        <w:t>durante el transcurso del mes de</w:t>
      </w:r>
      <w:r w:rsidR="0069398C">
        <w:rPr>
          <w:rFonts w:ascii="Century Gothic" w:hAnsi="Century Gothic"/>
          <w:sz w:val="24"/>
          <w:szCs w:val="24"/>
        </w:rPr>
        <w:t xml:space="preserve"> </w:t>
      </w:r>
      <w:r w:rsidR="008A367D">
        <w:rPr>
          <w:rFonts w:ascii="Century Gothic" w:hAnsi="Century Gothic"/>
          <w:sz w:val="24"/>
          <w:szCs w:val="24"/>
        </w:rPr>
        <w:t xml:space="preserve">octubre </w:t>
      </w:r>
      <w:r>
        <w:rPr>
          <w:rFonts w:ascii="Century Gothic" w:hAnsi="Century Gothic"/>
          <w:sz w:val="24"/>
          <w:szCs w:val="24"/>
        </w:rPr>
        <w:t xml:space="preserve">del año en curso el </w:t>
      </w:r>
      <w:r w:rsidRPr="00FF4427">
        <w:rPr>
          <w:rFonts w:ascii="Century Gothic" w:hAnsi="Century Gothic"/>
          <w:sz w:val="24"/>
          <w:szCs w:val="24"/>
        </w:rPr>
        <w:t xml:space="preserve">Avance de Gestión Financiera Correspondiente al </w:t>
      </w:r>
      <w:r w:rsidR="008A367D">
        <w:rPr>
          <w:rFonts w:ascii="Century Gothic" w:hAnsi="Century Gothic"/>
          <w:sz w:val="24"/>
          <w:szCs w:val="24"/>
        </w:rPr>
        <w:t>Tercer</w:t>
      </w:r>
      <w:r w:rsidRPr="00FF4427">
        <w:rPr>
          <w:rFonts w:ascii="Century Gothic" w:hAnsi="Century Gothic"/>
          <w:sz w:val="24"/>
          <w:szCs w:val="24"/>
        </w:rPr>
        <w:t xml:space="preserve"> Trimestre de 20</w:t>
      </w:r>
      <w:r w:rsidR="00686565">
        <w:rPr>
          <w:rFonts w:ascii="Century Gothic" w:hAnsi="Century Gothic"/>
          <w:sz w:val="24"/>
          <w:szCs w:val="24"/>
        </w:rPr>
        <w:t>2</w:t>
      </w:r>
      <w:r w:rsidR="00E92B8E">
        <w:rPr>
          <w:rFonts w:ascii="Century Gothic" w:hAnsi="Century Gothic"/>
          <w:sz w:val="24"/>
          <w:szCs w:val="24"/>
        </w:rPr>
        <w:t>4</w:t>
      </w:r>
      <w:r>
        <w:rPr>
          <w:rFonts w:ascii="Century Gothic" w:hAnsi="Century Gothic"/>
          <w:sz w:val="24"/>
          <w:szCs w:val="24"/>
        </w:rPr>
        <w:t xml:space="preserve">, </w:t>
      </w:r>
      <w:r w:rsidRPr="00FF4427">
        <w:rPr>
          <w:rFonts w:ascii="Century Gothic" w:hAnsi="Century Gothic"/>
          <w:sz w:val="24"/>
          <w:szCs w:val="24"/>
        </w:rPr>
        <w:t xml:space="preserve">ante el </w:t>
      </w:r>
      <w:r>
        <w:rPr>
          <w:rFonts w:ascii="Century Gothic" w:hAnsi="Century Gothic"/>
          <w:sz w:val="24"/>
          <w:szCs w:val="24"/>
        </w:rPr>
        <w:t xml:space="preserve">H. </w:t>
      </w:r>
      <w:r w:rsidRPr="00FF4427">
        <w:rPr>
          <w:rFonts w:ascii="Century Gothic" w:hAnsi="Century Gothic"/>
          <w:sz w:val="24"/>
          <w:szCs w:val="24"/>
        </w:rPr>
        <w:t xml:space="preserve">Congreso del Estado y </w:t>
      </w:r>
      <w:r>
        <w:rPr>
          <w:rFonts w:ascii="Century Gothic" w:hAnsi="Century Gothic"/>
          <w:sz w:val="24"/>
          <w:szCs w:val="24"/>
        </w:rPr>
        <w:t xml:space="preserve">una vez lo anterior </w:t>
      </w:r>
      <w:r w:rsidR="005770D7">
        <w:rPr>
          <w:rFonts w:ascii="Century Gothic" w:hAnsi="Century Gothic"/>
          <w:sz w:val="24"/>
          <w:szCs w:val="24"/>
        </w:rPr>
        <w:t xml:space="preserve">y </w:t>
      </w:r>
      <w:r w:rsidR="005770D7" w:rsidRPr="005770D7">
        <w:rPr>
          <w:rFonts w:ascii="Century Gothic" w:hAnsi="Century Gothic"/>
          <w:sz w:val="24"/>
          <w:szCs w:val="24"/>
        </w:rPr>
        <w:t>en apego al artículo 67 de la Ley General de Contabilidad Gubernamental, se publicarán la información sobre los montos efectivamente pagados durante el periodo por concepto de ayudas y subsidios a los sectores económicos y sociales</w:t>
      </w:r>
      <w:r w:rsidR="005770D7">
        <w:rPr>
          <w:rFonts w:ascii="Century Gothic" w:hAnsi="Century Gothic"/>
          <w:sz w:val="24"/>
          <w:szCs w:val="24"/>
        </w:rPr>
        <w:t>.</w:t>
      </w:r>
    </w:p>
    <w:p w14:paraId="5D55263C" w14:textId="78CCEF94" w:rsidR="00025DA8" w:rsidRPr="00FF4427" w:rsidRDefault="00025DA8" w:rsidP="00025DA8">
      <w:pPr>
        <w:jc w:val="both"/>
        <w:rPr>
          <w:rFonts w:ascii="Century Gothic" w:hAnsi="Century Gothic"/>
          <w:sz w:val="24"/>
          <w:szCs w:val="24"/>
        </w:rPr>
      </w:pPr>
    </w:p>
    <w:p w14:paraId="26A8A4D0" w14:textId="77777777" w:rsidR="00025DA8" w:rsidRDefault="00025DA8" w:rsidP="00025DA8">
      <w:pPr>
        <w:jc w:val="center"/>
        <w:rPr>
          <w:rFonts w:ascii="Arial" w:hAnsi="Arial" w:cs="Arial"/>
          <w:sz w:val="24"/>
        </w:rPr>
      </w:pPr>
    </w:p>
    <w:p w14:paraId="2EC79150" w14:textId="77777777" w:rsidR="00025DA8" w:rsidRPr="00390282" w:rsidRDefault="00025DA8" w:rsidP="00025DA8">
      <w:pPr>
        <w:rPr>
          <w:rFonts w:ascii="Century Gothic" w:hAnsi="Century Gothic" w:cs="Arial"/>
          <w:sz w:val="20"/>
          <w:szCs w:val="24"/>
        </w:rPr>
      </w:pPr>
      <w:r w:rsidRPr="00390282">
        <w:rPr>
          <w:rFonts w:ascii="Century Gothic" w:hAnsi="Century Gothic" w:cs="Arial"/>
          <w:sz w:val="20"/>
          <w:szCs w:val="24"/>
        </w:rPr>
        <w:t xml:space="preserve">Elaborado por: Concepción Melchor Alvarado. - </w:t>
      </w:r>
      <w:proofErr w:type="gramStart"/>
      <w:r w:rsidRPr="00390282">
        <w:rPr>
          <w:rFonts w:ascii="Century Gothic" w:hAnsi="Century Gothic" w:cs="Arial"/>
          <w:sz w:val="20"/>
          <w:szCs w:val="24"/>
        </w:rPr>
        <w:t>Directora</w:t>
      </w:r>
      <w:proofErr w:type="gramEnd"/>
      <w:r w:rsidRPr="00390282">
        <w:rPr>
          <w:rFonts w:ascii="Century Gothic" w:hAnsi="Century Gothic" w:cs="Arial"/>
          <w:sz w:val="20"/>
          <w:szCs w:val="24"/>
        </w:rPr>
        <w:t xml:space="preserve"> de Contabilidad </w:t>
      </w:r>
    </w:p>
    <w:p w14:paraId="391E640F" w14:textId="0B74B395" w:rsidR="00025DA8" w:rsidRPr="00390282" w:rsidRDefault="00025DA8" w:rsidP="00025DA8">
      <w:pPr>
        <w:rPr>
          <w:rFonts w:ascii="Century Gothic" w:hAnsi="Century Gothic" w:cs="Arial"/>
          <w:sz w:val="20"/>
          <w:szCs w:val="24"/>
        </w:rPr>
      </w:pPr>
      <w:r w:rsidRPr="00390282">
        <w:rPr>
          <w:rFonts w:ascii="Century Gothic" w:hAnsi="Century Gothic" w:cs="Arial"/>
          <w:sz w:val="20"/>
          <w:szCs w:val="24"/>
        </w:rPr>
        <w:t xml:space="preserve">Autorizado por: </w:t>
      </w:r>
      <w:r w:rsidR="000979D1">
        <w:rPr>
          <w:rFonts w:ascii="Century Gothic" w:hAnsi="Century Gothic" w:cs="Arial"/>
          <w:sz w:val="20"/>
          <w:szCs w:val="24"/>
        </w:rPr>
        <w:t>María Guadalupe Sandoval Sánchez</w:t>
      </w:r>
      <w:r w:rsidRPr="00390282">
        <w:rPr>
          <w:rFonts w:ascii="Century Gothic" w:hAnsi="Century Gothic" w:cs="Arial"/>
          <w:sz w:val="20"/>
          <w:szCs w:val="24"/>
        </w:rPr>
        <w:t xml:space="preserve">. - Oficial Mayor </w:t>
      </w:r>
    </w:p>
    <w:p w14:paraId="5DF15D8D" w14:textId="5FD5BC6E" w:rsidR="00025DA8" w:rsidRPr="00390282" w:rsidRDefault="00025DA8" w:rsidP="00025DA8">
      <w:pPr>
        <w:rPr>
          <w:rFonts w:ascii="Century Gothic" w:hAnsi="Century Gothic" w:cs="Arial"/>
          <w:sz w:val="20"/>
          <w:szCs w:val="24"/>
        </w:rPr>
      </w:pPr>
      <w:r w:rsidRPr="00390282">
        <w:rPr>
          <w:rFonts w:ascii="Century Gothic" w:hAnsi="Century Gothic" w:cs="Arial"/>
          <w:sz w:val="20"/>
          <w:szCs w:val="24"/>
        </w:rPr>
        <w:t xml:space="preserve">Fecha de actualización: </w:t>
      </w:r>
      <w:r w:rsidR="008A367D">
        <w:rPr>
          <w:rFonts w:ascii="Century Gothic" w:hAnsi="Century Gothic" w:cs="Arial"/>
          <w:sz w:val="20"/>
          <w:szCs w:val="24"/>
        </w:rPr>
        <w:t>31/07</w:t>
      </w:r>
      <w:r w:rsidR="001E42A1">
        <w:rPr>
          <w:rFonts w:ascii="Century Gothic" w:hAnsi="Century Gothic" w:cs="Arial"/>
          <w:sz w:val="20"/>
          <w:szCs w:val="24"/>
        </w:rPr>
        <w:t>/</w:t>
      </w:r>
      <w:r w:rsidRPr="00390282">
        <w:rPr>
          <w:rFonts w:ascii="Century Gothic" w:hAnsi="Century Gothic" w:cs="Arial"/>
          <w:sz w:val="20"/>
          <w:szCs w:val="24"/>
        </w:rPr>
        <w:t>20</w:t>
      </w:r>
      <w:r w:rsidR="002113BF">
        <w:rPr>
          <w:rFonts w:ascii="Century Gothic" w:hAnsi="Century Gothic" w:cs="Arial"/>
          <w:sz w:val="20"/>
          <w:szCs w:val="24"/>
        </w:rPr>
        <w:t>2</w:t>
      </w:r>
      <w:r w:rsidR="00E92B8E">
        <w:rPr>
          <w:rFonts w:ascii="Century Gothic" w:hAnsi="Century Gothic" w:cs="Arial"/>
          <w:sz w:val="20"/>
          <w:szCs w:val="24"/>
        </w:rPr>
        <w:t>4</w:t>
      </w:r>
    </w:p>
    <w:p w14:paraId="7ACD946A" w14:textId="74A34BA1" w:rsidR="00F835F5" w:rsidRPr="00390282" w:rsidRDefault="00F835F5" w:rsidP="00F835F5">
      <w:pPr>
        <w:rPr>
          <w:rFonts w:ascii="Century Gothic" w:hAnsi="Century Gothic" w:cs="Arial"/>
          <w:sz w:val="20"/>
          <w:szCs w:val="24"/>
        </w:rPr>
      </w:pPr>
      <w:r w:rsidRPr="00390282">
        <w:rPr>
          <w:rFonts w:ascii="Century Gothic" w:hAnsi="Century Gothic" w:cs="Arial"/>
          <w:sz w:val="20"/>
          <w:szCs w:val="24"/>
        </w:rPr>
        <w:t xml:space="preserve">Fecha de </w:t>
      </w:r>
      <w:r w:rsidR="00BB7F3C">
        <w:rPr>
          <w:rFonts w:ascii="Century Gothic" w:hAnsi="Century Gothic" w:cs="Arial"/>
          <w:sz w:val="20"/>
          <w:szCs w:val="24"/>
        </w:rPr>
        <w:t>v</w:t>
      </w:r>
      <w:r w:rsidRPr="00390282">
        <w:rPr>
          <w:rFonts w:ascii="Century Gothic" w:hAnsi="Century Gothic" w:cs="Arial"/>
          <w:sz w:val="20"/>
          <w:szCs w:val="24"/>
        </w:rPr>
        <w:t>a</w:t>
      </w:r>
      <w:r w:rsidR="00BB7F3C">
        <w:rPr>
          <w:rFonts w:ascii="Century Gothic" w:hAnsi="Century Gothic" w:cs="Arial"/>
          <w:sz w:val="20"/>
          <w:szCs w:val="24"/>
        </w:rPr>
        <w:t>lidación</w:t>
      </w:r>
      <w:r w:rsidRPr="00390282">
        <w:rPr>
          <w:rFonts w:ascii="Century Gothic" w:hAnsi="Century Gothic" w:cs="Arial"/>
          <w:sz w:val="20"/>
          <w:szCs w:val="24"/>
        </w:rPr>
        <w:t xml:space="preserve">: </w:t>
      </w:r>
      <w:r w:rsidR="00E92B8E">
        <w:rPr>
          <w:rFonts w:ascii="Century Gothic" w:hAnsi="Century Gothic" w:cs="Arial"/>
          <w:sz w:val="20"/>
          <w:szCs w:val="24"/>
        </w:rPr>
        <w:t>05</w:t>
      </w:r>
      <w:r w:rsidRPr="00390282">
        <w:rPr>
          <w:rFonts w:ascii="Century Gothic" w:hAnsi="Century Gothic" w:cs="Arial"/>
          <w:sz w:val="20"/>
          <w:szCs w:val="24"/>
        </w:rPr>
        <w:t>/</w:t>
      </w:r>
      <w:r w:rsidR="00394E35">
        <w:rPr>
          <w:rFonts w:ascii="Century Gothic" w:hAnsi="Century Gothic" w:cs="Arial"/>
          <w:sz w:val="20"/>
          <w:szCs w:val="24"/>
        </w:rPr>
        <w:t>0</w:t>
      </w:r>
      <w:r w:rsidR="008A367D">
        <w:rPr>
          <w:rFonts w:ascii="Century Gothic" w:hAnsi="Century Gothic" w:cs="Arial"/>
          <w:sz w:val="20"/>
          <w:szCs w:val="24"/>
        </w:rPr>
        <w:t>8</w:t>
      </w:r>
      <w:r w:rsidRPr="00390282">
        <w:rPr>
          <w:rFonts w:ascii="Century Gothic" w:hAnsi="Century Gothic" w:cs="Arial"/>
          <w:sz w:val="20"/>
          <w:szCs w:val="24"/>
        </w:rPr>
        <w:t>/20</w:t>
      </w:r>
      <w:r w:rsidR="002113BF">
        <w:rPr>
          <w:rFonts w:ascii="Century Gothic" w:hAnsi="Century Gothic" w:cs="Arial"/>
          <w:sz w:val="20"/>
          <w:szCs w:val="24"/>
        </w:rPr>
        <w:t>2</w:t>
      </w:r>
      <w:r w:rsidR="00E92B8E">
        <w:rPr>
          <w:rFonts w:ascii="Century Gothic" w:hAnsi="Century Gothic" w:cs="Arial"/>
          <w:sz w:val="20"/>
          <w:szCs w:val="24"/>
        </w:rPr>
        <w:t>4</w:t>
      </w:r>
    </w:p>
    <w:p w14:paraId="0F9EDCB7" w14:textId="77777777" w:rsidR="00025DA8" w:rsidRDefault="00025DA8" w:rsidP="00025DA8">
      <w:pPr>
        <w:jc w:val="center"/>
        <w:rPr>
          <w:rFonts w:ascii="Arial" w:hAnsi="Arial" w:cs="Arial"/>
          <w:sz w:val="24"/>
        </w:rPr>
      </w:pPr>
    </w:p>
    <w:p w14:paraId="5C8620EF" w14:textId="77777777" w:rsidR="00025DA8" w:rsidRPr="00FF4427" w:rsidRDefault="00025DA8" w:rsidP="00025DA8">
      <w:pPr>
        <w:jc w:val="center"/>
        <w:rPr>
          <w:rFonts w:ascii="Arial" w:hAnsi="Arial" w:cs="Arial"/>
          <w:sz w:val="24"/>
        </w:rPr>
      </w:pPr>
    </w:p>
    <w:p w14:paraId="20AA6377" w14:textId="77777777" w:rsidR="00025DA8" w:rsidRPr="00025DA8" w:rsidRDefault="00025DA8" w:rsidP="00025DA8"/>
    <w:p w14:paraId="7B9C209F" w14:textId="69025C89" w:rsidR="00025DA8" w:rsidRPr="00025DA8" w:rsidRDefault="00025DA8" w:rsidP="00025DA8">
      <w:pPr>
        <w:tabs>
          <w:tab w:val="left" w:pos="4884"/>
        </w:tabs>
      </w:pPr>
    </w:p>
    <w:sectPr w:rsidR="00025DA8" w:rsidRPr="00025DA8">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D0052" w14:textId="77777777" w:rsidR="00921413" w:rsidRDefault="00921413" w:rsidP="00025DA8">
      <w:pPr>
        <w:spacing w:after="0" w:line="240" w:lineRule="auto"/>
      </w:pPr>
      <w:r>
        <w:separator/>
      </w:r>
    </w:p>
  </w:endnote>
  <w:endnote w:type="continuationSeparator" w:id="0">
    <w:p w14:paraId="4ED3C42C" w14:textId="77777777" w:rsidR="00921413" w:rsidRDefault="00921413" w:rsidP="00025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E622B" w14:textId="77777777" w:rsidR="00025DA8" w:rsidRDefault="00025DA8">
    <w:pPr>
      <w:pStyle w:val="Piedepgina"/>
    </w:pPr>
    <w:r>
      <w:rPr>
        <w:noProof/>
        <w:lang w:val="es-ES_tradnl" w:eastAsia="es-ES_tradnl"/>
      </w:rPr>
      <w:drawing>
        <wp:anchor distT="0" distB="0" distL="114300" distR="114300" simplePos="0" relativeHeight="251661312" behindDoc="1" locked="0" layoutInCell="1" allowOverlap="1" wp14:anchorId="3BE8342C" wp14:editId="562651F7">
          <wp:simplePos x="0" y="0"/>
          <wp:positionH relativeFrom="margin">
            <wp:align>center</wp:align>
          </wp:positionH>
          <wp:positionV relativeFrom="paragraph">
            <wp:posOffset>0</wp:posOffset>
          </wp:positionV>
          <wp:extent cx="7452000" cy="34401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19.jpg"/>
                  <pic:cNvPicPr/>
                </pic:nvPicPr>
                <pic:blipFill>
                  <a:blip r:embed="rId1">
                    <a:extLst>
                      <a:ext uri="{28A0092B-C50C-407E-A947-70E740481C1C}">
                        <a14:useLocalDpi xmlns:a14="http://schemas.microsoft.com/office/drawing/2010/main" val="0"/>
                      </a:ext>
                    </a:extLst>
                  </a:blip>
                  <a:stretch>
                    <a:fillRect/>
                  </a:stretch>
                </pic:blipFill>
                <pic:spPr>
                  <a:xfrm>
                    <a:off x="0" y="0"/>
                    <a:ext cx="7452000" cy="3440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8DB9F" w14:textId="77777777" w:rsidR="00921413" w:rsidRDefault="00921413" w:rsidP="00025DA8">
      <w:pPr>
        <w:spacing w:after="0" w:line="240" w:lineRule="auto"/>
      </w:pPr>
      <w:r>
        <w:separator/>
      </w:r>
    </w:p>
  </w:footnote>
  <w:footnote w:type="continuationSeparator" w:id="0">
    <w:p w14:paraId="211E5991" w14:textId="77777777" w:rsidR="00921413" w:rsidRDefault="00921413" w:rsidP="00025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C5AA6" w14:textId="77777777" w:rsidR="00025DA8" w:rsidRDefault="00025DA8" w:rsidP="00025DA8">
    <w:pPr>
      <w:pStyle w:val="Encabezado"/>
      <w:jc w:val="center"/>
    </w:pPr>
    <w:r>
      <w:rPr>
        <w:noProof/>
        <w:lang w:val="es-ES_tradnl" w:eastAsia="es-ES_tradnl"/>
      </w:rPr>
      <w:drawing>
        <wp:anchor distT="0" distB="0" distL="114300" distR="114300" simplePos="0" relativeHeight="251659264" behindDoc="1" locked="0" layoutInCell="1" allowOverlap="1" wp14:anchorId="0B7BD43A" wp14:editId="28897207">
          <wp:simplePos x="0" y="0"/>
          <wp:positionH relativeFrom="margin">
            <wp:align>center</wp:align>
          </wp:positionH>
          <wp:positionV relativeFrom="paragraph">
            <wp:posOffset>-313055</wp:posOffset>
          </wp:positionV>
          <wp:extent cx="1682853" cy="1152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ribunal de Justicia Administrativa_03 - Negro.png"/>
                  <pic:cNvPicPr/>
                </pic:nvPicPr>
                <pic:blipFill rotWithShape="1">
                  <a:blip r:embed="rId1">
                    <a:extLst>
                      <a:ext uri="{28A0092B-C50C-407E-A947-70E740481C1C}">
                        <a14:useLocalDpi xmlns:a14="http://schemas.microsoft.com/office/drawing/2010/main" val="0"/>
                      </a:ext>
                    </a:extLst>
                  </a:blip>
                  <a:srcRect l="8866" t="13130" r="9920" b="8088"/>
                  <a:stretch/>
                </pic:blipFill>
                <pic:spPr bwMode="auto">
                  <a:xfrm>
                    <a:off x="0" y="0"/>
                    <a:ext cx="1682853" cy="1152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DA8"/>
    <w:rsid w:val="00025DA8"/>
    <w:rsid w:val="000661C1"/>
    <w:rsid w:val="00071696"/>
    <w:rsid w:val="00090FDD"/>
    <w:rsid w:val="000979D1"/>
    <w:rsid w:val="000C4166"/>
    <w:rsid w:val="00133B84"/>
    <w:rsid w:val="001E42A1"/>
    <w:rsid w:val="0020281A"/>
    <w:rsid w:val="002113BF"/>
    <w:rsid w:val="002B25FC"/>
    <w:rsid w:val="002E6368"/>
    <w:rsid w:val="00394E35"/>
    <w:rsid w:val="003D016A"/>
    <w:rsid w:val="00440FA1"/>
    <w:rsid w:val="004862FD"/>
    <w:rsid w:val="00502AA9"/>
    <w:rsid w:val="00510437"/>
    <w:rsid w:val="005214C3"/>
    <w:rsid w:val="005770D7"/>
    <w:rsid w:val="00611F4A"/>
    <w:rsid w:val="00686565"/>
    <w:rsid w:val="0069398C"/>
    <w:rsid w:val="007032B6"/>
    <w:rsid w:val="00780B7F"/>
    <w:rsid w:val="008A367D"/>
    <w:rsid w:val="008A5B59"/>
    <w:rsid w:val="008F0F44"/>
    <w:rsid w:val="00921413"/>
    <w:rsid w:val="00A454F4"/>
    <w:rsid w:val="00AD2F2C"/>
    <w:rsid w:val="00AE7C35"/>
    <w:rsid w:val="00B103B7"/>
    <w:rsid w:val="00B352C6"/>
    <w:rsid w:val="00B43885"/>
    <w:rsid w:val="00B60A3F"/>
    <w:rsid w:val="00B6323E"/>
    <w:rsid w:val="00B75664"/>
    <w:rsid w:val="00BB7F3C"/>
    <w:rsid w:val="00C40EFC"/>
    <w:rsid w:val="00C55EB0"/>
    <w:rsid w:val="00E92B8E"/>
    <w:rsid w:val="00F835F5"/>
    <w:rsid w:val="00FA17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BF93D"/>
  <w15:chartTrackingRefBased/>
  <w15:docId w15:val="{999C99A5-D5B0-44D7-B55C-DA488A886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5D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5DA8"/>
  </w:style>
  <w:style w:type="paragraph" w:styleId="Piedepgina">
    <w:name w:val="footer"/>
    <w:basedOn w:val="Normal"/>
    <w:link w:val="PiedepginaCar"/>
    <w:uiPriority w:val="99"/>
    <w:unhideWhenUsed/>
    <w:rsid w:val="00025D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5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03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181</Words>
  <Characters>1000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Concepcion Melchor Alvarado</dc:creator>
  <cp:keywords/>
  <dc:description/>
  <cp:lastModifiedBy>Lorena Patricia Concha Saucedo</cp:lastModifiedBy>
  <cp:revision>5</cp:revision>
  <cp:lastPrinted>2023-08-07T15:09:00Z</cp:lastPrinted>
  <dcterms:created xsi:type="dcterms:W3CDTF">2023-07-03T20:06:00Z</dcterms:created>
  <dcterms:modified xsi:type="dcterms:W3CDTF">2024-08-05T14:49:00Z</dcterms:modified>
</cp:coreProperties>
</file>