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4BB8" w14:textId="77777777" w:rsidR="00A011C1" w:rsidRPr="0017768D" w:rsidRDefault="00A011C1" w:rsidP="00A011C1">
      <w:pPr>
        <w:spacing w:after="0" w:line="360" w:lineRule="auto"/>
        <w:jc w:val="center"/>
        <w:rPr>
          <w:rFonts w:ascii="Avenir Next LT Pro Light" w:hAnsi="Avenir Next LT Pro Light"/>
          <w:b/>
          <w:sz w:val="24"/>
          <w:szCs w:val="24"/>
        </w:rPr>
      </w:pPr>
    </w:p>
    <w:p w14:paraId="7579CB26" w14:textId="47FC037E" w:rsidR="00A011C1" w:rsidRPr="0017768D" w:rsidRDefault="00A011C1" w:rsidP="00A011C1">
      <w:pPr>
        <w:spacing w:after="0" w:line="360" w:lineRule="auto"/>
        <w:jc w:val="center"/>
        <w:rPr>
          <w:rFonts w:ascii="Avenir Next LT Pro Light" w:hAnsi="Avenir Next LT Pro Light"/>
          <w:b/>
          <w:sz w:val="24"/>
          <w:szCs w:val="24"/>
        </w:rPr>
      </w:pPr>
      <w:r w:rsidRPr="0017768D">
        <w:rPr>
          <w:rFonts w:ascii="Avenir Next LT Pro Light" w:hAnsi="Avenir Next LT Pro Light"/>
          <w:b/>
          <w:sz w:val="24"/>
          <w:szCs w:val="24"/>
        </w:rPr>
        <w:t xml:space="preserve">Artículo 34 de la Ley de </w:t>
      </w:r>
      <w:r w:rsidR="00036825" w:rsidRPr="0017768D">
        <w:rPr>
          <w:rFonts w:ascii="Avenir Next LT Pro Light" w:hAnsi="Avenir Next LT Pro Light"/>
          <w:b/>
          <w:sz w:val="24"/>
          <w:szCs w:val="24"/>
        </w:rPr>
        <w:t xml:space="preserve">Transparencia y </w:t>
      </w:r>
      <w:r w:rsidRPr="0017768D">
        <w:rPr>
          <w:rFonts w:ascii="Avenir Next LT Pro Light" w:hAnsi="Avenir Next LT Pro Light"/>
          <w:b/>
          <w:sz w:val="24"/>
          <w:szCs w:val="24"/>
        </w:rPr>
        <w:t xml:space="preserve">Acceso a la Información Pública </w:t>
      </w:r>
    </w:p>
    <w:p w14:paraId="5C737401" w14:textId="2BEC2567" w:rsidR="00A011C1" w:rsidRPr="0017768D" w:rsidRDefault="00A011C1" w:rsidP="00A011C1">
      <w:pPr>
        <w:spacing w:after="0" w:line="360" w:lineRule="auto"/>
        <w:jc w:val="center"/>
        <w:rPr>
          <w:rFonts w:ascii="Avenir Next LT Pro Light" w:hAnsi="Avenir Next LT Pro Light"/>
          <w:b/>
          <w:sz w:val="24"/>
          <w:szCs w:val="24"/>
        </w:rPr>
      </w:pPr>
      <w:r w:rsidRPr="0017768D">
        <w:rPr>
          <w:rFonts w:ascii="Avenir Next LT Pro Light" w:hAnsi="Avenir Next LT Pro Light"/>
          <w:b/>
          <w:sz w:val="24"/>
          <w:szCs w:val="24"/>
        </w:rPr>
        <w:t>para el Estado de Coahuila</w:t>
      </w:r>
      <w:r w:rsidR="00036825" w:rsidRPr="0017768D">
        <w:rPr>
          <w:rFonts w:ascii="Avenir Next LT Pro Light" w:hAnsi="Avenir Next LT Pro Light"/>
          <w:b/>
          <w:sz w:val="24"/>
          <w:szCs w:val="24"/>
        </w:rPr>
        <w:t xml:space="preserve"> de Zaragoza</w:t>
      </w:r>
    </w:p>
    <w:p w14:paraId="5436264D" w14:textId="2D249FE8" w:rsidR="00A011C1" w:rsidRPr="0017768D" w:rsidRDefault="00A011C1" w:rsidP="00A011C1">
      <w:pPr>
        <w:spacing w:after="0" w:line="360" w:lineRule="auto"/>
        <w:jc w:val="center"/>
        <w:rPr>
          <w:rFonts w:ascii="Avenir Next LT Pro Light" w:hAnsi="Avenir Next LT Pro Light"/>
          <w:sz w:val="24"/>
          <w:szCs w:val="24"/>
        </w:rPr>
      </w:pPr>
    </w:p>
    <w:p w14:paraId="71174C23" w14:textId="77777777" w:rsidR="00A011C1" w:rsidRPr="0017768D" w:rsidRDefault="00A011C1" w:rsidP="00A011C1">
      <w:pPr>
        <w:spacing w:after="0" w:line="360" w:lineRule="auto"/>
        <w:jc w:val="center"/>
        <w:rPr>
          <w:rFonts w:ascii="Avenir Next LT Pro Light" w:hAnsi="Avenir Next LT Pro Light"/>
          <w:sz w:val="24"/>
          <w:szCs w:val="24"/>
        </w:rPr>
      </w:pPr>
    </w:p>
    <w:p w14:paraId="27533F61" w14:textId="3962180B" w:rsidR="00A011C1" w:rsidRPr="0017768D" w:rsidRDefault="00A011C1" w:rsidP="00A011C1">
      <w:pPr>
        <w:spacing w:after="0" w:line="360" w:lineRule="auto"/>
        <w:jc w:val="both"/>
        <w:rPr>
          <w:rFonts w:ascii="Avenir Next LT Pro Light" w:hAnsi="Avenir Next LT Pro Light"/>
          <w:sz w:val="24"/>
          <w:szCs w:val="24"/>
        </w:rPr>
      </w:pPr>
      <w:r w:rsidRPr="0017768D">
        <w:rPr>
          <w:rFonts w:ascii="Avenir Next LT Pro Light" w:hAnsi="Avenir Next LT Pro Light"/>
          <w:b/>
          <w:sz w:val="24"/>
          <w:szCs w:val="24"/>
        </w:rPr>
        <w:t>Fracción XII.-</w:t>
      </w:r>
      <w:r w:rsidRPr="0017768D">
        <w:rPr>
          <w:rFonts w:ascii="Avenir Next LT Pro Light" w:hAnsi="Avenir Next LT Pro Light"/>
          <w:sz w:val="24"/>
          <w:szCs w:val="24"/>
        </w:rPr>
        <w:t xml:space="preserve"> Estadísticas de amparos concedidos en contra de las resoluciones emitidas por la autoridad;</w:t>
      </w:r>
    </w:p>
    <w:p w14:paraId="3FB33C56" w14:textId="77777777" w:rsidR="00A011C1" w:rsidRPr="0017768D" w:rsidRDefault="00A011C1" w:rsidP="00A011C1">
      <w:pPr>
        <w:spacing w:after="0" w:line="360" w:lineRule="auto"/>
        <w:jc w:val="center"/>
        <w:rPr>
          <w:rFonts w:ascii="Avenir Next LT Pro Light" w:hAnsi="Avenir Next LT Pro Light"/>
          <w:sz w:val="24"/>
          <w:szCs w:val="24"/>
        </w:rPr>
      </w:pPr>
      <w:r w:rsidRPr="0017768D">
        <w:rPr>
          <w:rFonts w:ascii="Avenir Next LT Pro Light" w:hAnsi="Avenir Next LT Pro Light"/>
          <w:sz w:val="24"/>
          <w:szCs w:val="24"/>
        </w:rPr>
        <w:t xml:space="preserve"> </w:t>
      </w:r>
    </w:p>
    <w:p w14:paraId="5A1E8FC0" w14:textId="77777777" w:rsidR="00A011C1" w:rsidRPr="0017768D" w:rsidRDefault="00A011C1" w:rsidP="00A011C1">
      <w:pPr>
        <w:spacing w:line="360" w:lineRule="auto"/>
        <w:jc w:val="center"/>
        <w:rPr>
          <w:rFonts w:ascii="Avenir Next LT Pro Light" w:hAnsi="Avenir Next LT Pro Light"/>
          <w:sz w:val="24"/>
          <w:szCs w:val="24"/>
        </w:rPr>
      </w:pPr>
      <w:r w:rsidRPr="0017768D">
        <w:rPr>
          <w:rFonts w:ascii="Avenir Next LT Pro Light" w:hAnsi="Avenir Next LT Pro Light"/>
          <w:sz w:val="24"/>
          <w:szCs w:val="24"/>
        </w:rPr>
        <w:t>Por lo que hace a la información proporcionada por las Salas que integran este Tribunal, en el Período no se tiene registro alguno.</w:t>
      </w:r>
    </w:p>
    <w:p w14:paraId="617D90CA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29287FA2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11B5330F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6F748BAE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651F8C1E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064F491F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2AB4E528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78C80087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E3B3C5D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2187AA88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6CA5E8B6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33DD8EFF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5C3904C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4A838E46" w14:textId="77777777" w:rsidR="00A011C1" w:rsidRPr="0017768D" w:rsidRDefault="00A011C1" w:rsidP="00A011C1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07507DC9" w14:textId="77777777" w:rsidR="0017768D" w:rsidRPr="0017768D" w:rsidRDefault="0017768D" w:rsidP="0017768D">
      <w:pPr>
        <w:rPr>
          <w:rFonts w:ascii="Avenir Next LT Pro Light" w:eastAsia="Times New Roman" w:hAnsi="Avenir Next LT Pro Light" w:cs="Times New Roman"/>
          <w:b/>
          <w:bCs/>
          <w:color w:val="000000"/>
          <w:lang w:eastAsia="es-MX"/>
        </w:rPr>
      </w:pPr>
    </w:p>
    <w:p w14:paraId="35F64ED4" w14:textId="77777777" w:rsidR="0017768D" w:rsidRPr="0017768D" w:rsidRDefault="0017768D" w:rsidP="0017768D">
      <w:pPr>
        <w:rPr>
          <w:rFonts w:ascii="Avenir Next LT Pro Light" w:eastAsia="Times New Roman" w:hAnsi="Avenir Next LT Pro Light" w:cs="Times New Roman"/>
          <w:b/>
          <w:bCs/>
          <w:color w:val="000000"/>
          <w:lang w:eastAsia="es-MX"/>
        </w:rPr>
      </w:pPr>
      <w:r w:rsidRPr="0017768D">
        <w:rPr>
          <w:rFonts w:ascii="Avenir Next LT Pro Light" w:eastAsia="Times New Roman" w:hAnsi="Avenir Next LT Pro Light" w:cs="Times New Roman"/>
          <w:b/>
          <w:bCs/>
          <w:color w:val="000000"/>
          <w:lang w:eastAsia="es-MX"/>
        </w:rPr>
        <w:t xml:space="preserve">Elaborado por: </w:t>
      </w:r>
      <w:r w:rsidRPr="0017768D">
        <w:rPr>
          <w:rFonts w:ascii="Avenir Next LT Pro Light" w:eastAsia="Times New Roman" w:hAnsi="Avenir Next LT Pro Light" w:cs="Times New Roman"/>
          <w:color w:val="000000"/>
          <w:lang w:eastAsia="es-MX"/>
        </w:rPr>
        <w:t>Idelia Constanza Reyes Tamez</w:t>
      </w:r>
      <w:r w:rsidRPr="0017768D">
        <w:rPr>
          <w:rFonts w:ascii="Avenir Next LT Pro Light" w:eastAsia="Times New Roman" w:hAnsi="Avenir Next LT Pro Light" w:cs="Times New Roman"/>
          <w:b/>
          <w:bCs/>
          <w:color w:val="000000"/>
          <w:lang w:eastAsia="es-MX"/>
        </w:rPr>
        <w:t xml:space="preserve"> </w:t>
      </w:r>
    </w:p>
    <w:p w14:paraId="453AE771" w14:textId="77777777" w:rsidR="0017768D" w:rsidRPr="0017768D" w:rsidRDefault="0017768D" w:rsidP="0017768D">
      <w:pPr>
        <w:rPr>
          <w:rFonts w:ascii="Avenir Next LT Pro Light" w:eastAsia="Times New Roman" w:hAnsi="Avenir Next LT Pro Light" w:cs="Times New Roman"/>
          <w:b/>
          <w:bCs/>
          <w:color w:val="000000"/>
          <w:lang w:eastAsia="es-MX"/>
        </w:rPr>
      </w:pPr>
      <w:r w:rsidRPr="0017768D">
        <w:rPr>
          <w:rFonts w:ascii="Avenir Next LT Pro Light" w:eastAsia="Times New Roman" w:hAnsi="Avenir Next LT Pro Light" w:cs="Times New Roman"/>
          <w:b/>
          <w:bCs/>
          <w:color w:val="000000"/>
          <w:lang w:eastAsia="es-MX"/>
        </w:rPr>
        <w:t xml:space="preserve">Unidad Administrativa: </w:t>
      </w:r>
      <w:r w:rsidRPr="0017768D">
        <w:rPr>
          <w:rFonts w:ascii="Avenir Next LT Pro Light" w:eastAsia="Times New Roman" w:hAnsi="Avenir Next LT Pro Light" w:cs="Times New Roman"/>
          <w:color w:val="000000"/>
          <w:lang w:val="es-ES" w:eastAsia="es-MX"/>
        </w:rPr>
        <w:t>Secretaría General de Acuerdos</w:t>
      </w:r>
      <w:r w:rsidRPr="0017768D">
        <w:rPr>
          <w:rFonts w:ascii="Avenir Next LT Pro Light" w:eastAsia="Times New Roman" w:hAnsi="Avenir Next LT Pro Light" w:cs="Times New Roman"/>
          <w:b/>
          <w:bCs/>
          <w:color w:val="000000"/>
          <w:lang w:val="es-ES" w:eastAsia="es-MX"/>
        </w:rPr>
        <w:t xml:space="preserve"> </w:t>
      </w:r>
    </w:p>
    <w:p w14:paraId="7FCDBE60" w14:textId="24753E37" w:rsidR="0017768D" w:rsidRPr="0017768D" w:rsidRDefault="0017768D" w:rsidP="0017768D">
      <w:pPr>
        <w:rPr>
          <w:rFonts w:ascii="Avenir Next LT Pro Light" w:eastAsia="Times New Roman" w:hAnsi="Avenir Next LT Pro Light" w:cs="Times New Roman"/>
          <w:b/>
          <w:bCs/>
          <w:color w:val="000000"/>
          <w:lang w:eastAsia="es-MX"/>
        </w:rPr>
      </w:pPr>
      <w:r w:rsidRPr="0017768D">
        <w:rPr>
          <w:rFonts w:ascii="Avenir Next LT Pro Light" w:eastAsia="Times New Roman" w:hAnsi="Avenir Next LT Pro Light" w:cs="Times New Roman"/>
          <w:b/>
          <w:bCs/>
          <w:color w:val="000000"/>
          <w:lang w:eastAsia="es-MX"/>
        </w:rPr>
        <w:t xml:space="preserve">Fecha de actualización y/o revisión: </w:t>
      </w:r>
      <w:r w:rsidRPr="0017768D">
        <w:rPr>
          <w:rFonts w:ascii="Avenir Next LT Pro Light" w:eastAsia="Times New Roman" w:hAnsi="Avenir Next LT Pro Light" w:cs="Times New Roman"/>
          <w:color w:val="000000"/>
          <w:lang w:val="es-ES" w:eastAsia="es-MX"/>
        </w:rPr>
        <w:t>0</w:t>
      </w:r>
      <w:r w:rsidR="00CD6A9E">
        <w:rPr>
          <w:rFonts w:ascii="Avenir Next LT Pro Light" w:eastAsia="Times New Roman" w:hAnsi="Avenir Next LT Pro Light" w:cs="Times New Roman"/>
          <w:color w:val="000000"/>
          <w:lang w:val="es-ES" w:eastAsia="es-MX"/>
        </w:rPr>
        <w:t>1</w:t>
      </w:r>
      <w:r w:rsidRPr="0017768D">
        <w:rPr>
          <w:rFonts w:ascii="Avenir Next LT Pro Light" w:eastAsia="Times New Roman" w:hAnsi="Avenir Next LT Pro Light" w:cs="Times New Roman"/>
          <w:color w:val="000000"/>
          <w:lang w:val="es-ES" w:eastAsia="es-MX"/>
        </w:rPr>
        <w:t xml:space="preserve"> de </w:t>
      </w:r>
      <w:r w:rsidR="00ED4BA2">
        <w:rPr>
          <w:rFonts w:ascii="Avenir Next LT Pro Light" w:eastAsia="Times New Roman" w:hAnsi="Avenir Next LT Pro Light" w:cs="Times New Roman"/>
          <w:color w:val="000000"/>
          <w:lang w:val="es-ES" w:eastAsia="es-MX"/>
        </w:rPr>
        <w:t>octu</w:t>
      </w:r>
      <w:r w:rsidR="00CD6A9E">
        <w:rPr>
          <w:rFonts w:ascii="Avenir Next LT Pro Light" w:eastAsia="Times New Roman" w:hAnsi="Avenir Next LT Pro Light" w:cs="Times New Roman"/>
          <w:color w:val="000000"/>
          <w:lang w:val="es-ES" w:eastAsia="es-MX"/>
        </w:rPr>
        <w:t>bre</w:t>
      </w:r>
      <w:r w:rsidRPr="0017768D">
        <w:rPr>
          <w:rFonts w:ascii="Avenir Next LT Pro Light" w:eastAsia="Times New Roman" w:hAnsi="Avenir Next LT Pro Light" w:cs="Times New Roman"/>
          <w:color w:val="000000"/>
          <w:lang w:val="es-ES" w:eastAsia="es-MX"/>
        </w:rPr>
        <w:t xml:space="preserve"> de 2025</w:t>
      </w:r>
    </w:p>
    <w:p w14:paraId="2E82F411" w14:textId="77777777" w:rsidR="00A011C1" w:rsidRPr="0017768D" w:rsidRDefault="00A011C1" w:rsidP="00A011C1">
      <w:pPr>
        <w:rPr>
          <w:rFonts w:ascii="Avenir Next LT Pro Light" w:hAnsi="Avenir Next LT Pro Light"/>
        </w:rPr>
      </w:pPr>
    </w:p>
    <w:p w14:paraId="11D87185" w14:textId="3787A8A6" w:rsidR="00EA76C8" w:rsidRPr="0017768D" w:rsidRDefault="00EA76C8" w:rsidP="00C26AAA">
      <w:pPr>
        <w:rPr>
          <w:rFonts w:ascii="Avenir Next LT Pro Light" w:hAnsi="Avenir Next LT Pro Light"/>
        </w:rPr>
      </w:pPr>
    </w:p>
    <w:sectPr w:rsidR="00EA76C8" w:rsidRPr="0017768D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CD82" w14:textId="77777777" w:rsidR="00DD6D6E" w:rsidRDefault="00DD6D6E" w:rsidP="00A71679">
      <w:pPr>
        <w:spacing w:after="0" w:line="240" w:lineRule="auto"/>
      </w:pPr>
      <w:r>
        <w:separator/>
      </w:r>
    </w:p>
  </w:endnote>
  <w:endnote w:type="continuationSeparator" w:id="0">
    <w:p w14:paraId="0CAA647A" w14:textId="77777777" w:rsidR="00DD6D6E" w:rsidRDefault="00DD6D6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07D4" w14:textId="77777777" w:rsidR="00DD6D6E" w:rsidRDefault="00DD6D6E" w:rsidP="00A71679">
      <w:pPr>
        <w:spacing w:after="0" w:line="240" w:lineRule="auto"/>
      </w:pPr>
      <w:r>
        <w:separator/>
      </w:r>
    </w:p>
  </w:footnote>
  <w:footnote w:type="continuationSeparator" w:id="0">
    <w:p w14:paraId="22EFC580" w14:textId="77777777" w:rsidR="00DD6D6E" w:rsidRDefault="00DD6D6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1492"/>
    <w:rsid w:val="00020BE4"/>
    <w:rsid w:val="00034082"/>
    <w:rsid w:val="00036825"/>
    <w:rsid w:val="000500AB"/>
    <w:rsid w:val="000A6BD2"/>
    <w:rsid w:val="000D69B4"/>
    <w:rsid w:val="000F62E0"/>
    <w:rsid w:val="00151CBE"/>
    <w:rsid w:val="0017768D"/>
    <w:rsid w:val="0019698E"/>
    <w:rsid w:val="001C7D59"/>
    <w:rsid w:val="001D0611"/>
    <w:rsid w:val="001E7841"/>
    <w:rsid w:val="00275D6A"/>
    <w:rsid w:val="0029246F"/>
    <w:rsid w:val="002C5B28"/>
    <w:rsid w:val="002C73AA"/>
    <w:rsid w:val="002F03CC"/>
    <w:rsid w:val="00300981"/>
    <w:rsid w:val="003055AE"/>
    <w:rsid w:val="003062C1"/>
    <w:rsid w:val="00337975"/>
    <w:rsid w:val="0034422A"/>
    <w:rsid w:val="00374144"/>
    <w:rsid w:val="00385137"/>
    <w:rsid w:val="0039133B"/>
    <w:rsid w:val="003B6752"/>
    <w:rsid w:val="003D062E"/>
    <w:rsid w:val="003D7E9B"/>
    <w:rsid w:val="003E6CB9"/>
    <w:rsid w:val="004026C0"/>
    <w:rsid w:val="00405EDD"/>
    <w:rsid w:val="00455911"/>
    <w:rsid w:val="004613CC"/>
    <w:rsid w:val="00473704"/>
    <w:rsid w:val="0048253A"/>
    <w:rsid w:val="004C31BF"/>
    <w:rsid w:val="004E34E5"/>
    <w:rsid w:val="004F00D3"/>
    <w:rsid w:val="004F3091"/>
    <w:rsid w:val="00527D7D"/>
    <w:rsid w:val="005464D3"/>
    <w:rsid w:val="005817E5"/>
    <w:rsid w:val="005B2C74"/>
    <w:rsid w:val="00653B7B"/>
    <w:rsid w:val="0066633C"/>
    <w:rsid w:val="00677E14"/>
    <w:rsid w:val="006B1488"/>
    <w:rsid w:val="006C2642"/>
    <w:rsid w:val="006E4543"/>
    <w:rsid w:val="006E46ED"/>
    <w:rsid w:val="006F23A8"/>
    <w:rsid w:val="00733B0C"/>
    <w:rsid w:val="00746568"/>
    <w:rsid w:val="00764E07"/>
    <w:rsid w:val="0077076B"/>
    <w:rsid w:val="007A0146"/>
    <w:rsid w:val="007B1E02"/>
    <w:rsid w:val="007B3980"/>
    <w:rsid w:val="007E09E3"/>
    <w:rsid w:val="00801426"/>
    <w:rsid w:val="00804758"/>
    <w:rsid w:val="00807624"/>
    <w:rsid w:val="0081319F"/>
    <w:rsid w:val="0081740C"/>
    <w:rsid w:val="008260C4"/>
    <w:rsid w:val="00826357"/>
    <w:rsid w:val="00842B4D"/>
    <w:rsid w:val="00856478"/>
    <w:rsid w:val="0086744C"/>
    <w:rsid w:val="00891297"/>
    <w:rsid w:val="00891404"/>
    <w:rsid w:val="008A414F"/>
    <w:rsid w:val="008C2962"/>
    <w:rsid w:val="008E3BE7"/>
    <w:rsid w:val="00924A2F"/>
    <w:rsid w:val="0094368F"/>
    <w:rsid w:val="009879B2"/>
    <w:rsid w:val="009D63AE"/>
    <w:rsid w:val="009F2EC5"/>
    <w:rsid w:val="00A011C1"/>
    <w:rsid w:val="00A20BD7"/>
    <w:rsid w:val="00A36EBD"/>
    <w:rsid w:val="00A62A11"/>
    <w:rsid w:val="00A71679"/>
    <w:rsid w:val="00A91AE3"/>
    <w:rsid w:val="00AA492A"/>
    <w:rsid w:val="00AA5C73"/>
    <w:rsid w:val="00AE4F5C"/>
    <w:rsid w:val="00AE7AA0"/>
    <w:rsid w:val="00B0365F"/>
    <w:rsid w:val="00B21043"/>
    <w:rsid w:val="00B216E0"/>
    <w:rsid w:val="00B33F5E"/>
    <w:rsid w:val="00B56062"/>
    <w:rsid w:val="00B574C5"/>
    <w:rsid w:val="00B6631B"/>
    <w:rsid w:val="00B705D3"/>
    <w:rsid w:val="00B94C94"/>
    <w:rsid w:val="00BA3CA2"/>
    <w:rsid w:val="00BA771B"/>
    <w:rsid w:val="00C0566D"/>
    <w:rsid w:val="00C07DAA"/>
    <w:rsid w:val="00C109D2"/>
    <w:rsid w:val="00C2067B"/>
    <w:rsid w:val="00C26AAA"/>
    <w:rsid w:val="00C37464"/>
    <w:rsid w:val="00C44652"/>
    <w:rsid w:val="00C570D6"/>
    <w:rsid w:val="00C71931"/>
    <w:rsid w:val="00C71C66"/>
    <w:rsid w:val="00C97E85"/>
    <w:rsid w:val="00CA146B"/>
    <w:rsid w:val="00CA423C"/>
    <w:rsid w:val="00CC41C7"/>
    <w:rsid w:val="00CD0655"/>
    <w:rsid w:val="00CD181A"/>
    <w:rsid w:val="00CD6A9E"/>
    <w:rsid w:val="00CE3201"/>
    <w:rsid w:val="00CE57A1"/>
    <w:rsid w:val="00CF4683"/>
    <w:rsid w:val="00D20BEA"/>
    <w:rsid w:val="00D40A7D"/>
    <w:rsid w:val="00D642F1"/>
    <w:rsid w:val="00D71BF8"/>
    <w:rsid w:val="00D7424A"/>
    <w:rsid w:val="00DB0421"/>
    <w:rsid w:val="00DD6D6E"/>
    <w:rsid w:val="00DF18F8"/>
    <w:rsid w:val="00E2275D"/>
    <w:rsid w:val="00E258DD"/>
    <w:rsid w:val="00E27EED"/>
    <w:rsid w:val="00E65488"/>
    <w:rsid w:val="00E71425"/>
    <w:rsid w:val="00E82EB9"/>
    <w:rsid w:val="00E9254B"/>
    <w:rsid w:val="00E93487"/>
    <w:rsid w:val="00EA76C8"/>
    <w:rsid w:val="00EB036B"/>
    <w:rsid w:val="00EB1805"/>
    <w:rsid w:val="00ED0AC7"/>
    <w:rsid w:val="00ED4BA2"/>
    <w:rsid w:val="00F04C21"/>
    <w:rsid w:val="00F176FA"/>
    <w:rsid w:val="00F32771"/>
    <w:rsid w:val="00F61EDF"/>
    <w:rsid w:val="00F741EE"/>
    <w:rsid w:val="00F90BDA"/>
    <w:rsid w:val="00FB2D27"/>
    <w:rsid w:val="00FC4380"/>
    <w:rsid w:val="00FD7E3D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6</cp:revision>
  <cp:lastPrinted>2025-10-01T20:21:00Z</cp:lastPrinted>
  <dcterms:created xsi:type="dcterms:W3CDTF">2025-09-03T19:50:00Z</dcterms:created>
  <dcterms:modified xsi:type="dcterms:W3CDTF">2025-10-01T20:21:00Z</dcterms:modified>
</cp:coreProperties>
</file>