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63A72" w14:textId="1030DCD2" w:rsidR="00142A2F" w:rsidRPr="001A2D34" w:rsidRDefault="004459F2" w:rsidP="001A2D34">
      <w:pPr>
        <w:spacing w:after="0" w:line="240" w:lineRule="exact"/>
        <w:jc w:val="both"/>
        <w:rPr>
          <w:rFonts w:ascii="Avenir Next LT Pro" w:eastAsia="Times New Roman" w:hAnsi="Avenir Next LT Pro" w:cs="Segoe UI"/>
          <w:b/>
          <w:color w:val="212121"/>
          <w:sz w:val="23"/>
          <w:szCs w:val="23"/>
          <w:lang w:eastAsia="es-MX"/>
        </w:rPr>
      </w:pPr>
      <w:r w:rsidRPr="001A2D34">
        <w:rPr>
          <w:rFonts w:ascii="Avenir Next LT Pro" w:eastAsia="Times New Roman" w:hAnsi="Avenir Next LT Pro" w:cs="Segoe UI"/>
          <w:b/>
          <w:color w:val="212121"/>
          <w:sz w:val="23"/>
          <w:szCs w:val="23"/>
          <w:lang w:eastAsia="es-MX"/>
        </w:rPr>
        <w:t>ARTÍCULO 65</w:t>
      </w:r>
    </w:p>
    <w:p w14:paraId="24168D20" w14:textId="77777777" w:rsidR="001A2D34" w:rsidRPr="001A2D34" w:rsidRDefault="004459F2" w:rsidP="001A2D34">
      <w:pPr>
        <w:spacing w:line="240" w:lineRule="exact"/>
        <w:jc w:val="both"/>
        <w:rPr>
          <w:rFonts w:ascii="Avenir Next LT Pro" w:eastAsia="Times New Roman" w:hAnsi="Avenir Next LT Pro" w:cs="Segoe UI"/>
          <w:b/>
          <w:color w:val="212121"/>
          <w:sz w:val="23"/>
          <w:szCs w:val="23"/>
          <w:lang w:eastAsia="es-MX"/>
        </w:rPr>
      </w:pPr>
      <w:r w:rsidRPr="001A2D34">
        <w:rPr>
          <w:rFonts w:ascii="Avenir Next LT Pro" w:eastAsia="Times New Roman" w:hAnsi="Avenir Next LT Pro" w:cs="Segoe UI"/>
          <w:b/>
          <w:color w:val="212121"/>
          <w:sz w:val="23"/>
          <w:szCs w:val="23"/>
          <w:lang w:eastAsia="es-MX"/>
        </w:rPr>
        <w:t>FRACCIÓN XL</w:t>
      </w:r>
    </w:p>
    <w:p w14:paraId="3B580C7A" w14:textId="37787B14" w:rsidR="004459F2" w:rsidRPr="001A2D34" w:rsidRDefault="004459F2" w:rsidP="001A2D34">
      <w:pPr>
        <w:spacing w:line="240" w:lineRule="exact"/>
        <w:jc w:val="both"/>
        <w:rPr>
          <w:rFonts w:ascii="Avenir Next LT Pro" w:eastAsia="Times New Roman" w:hAnsi="Avenir Next LT Pro" w:cs="Segoe UI"/>
          <w:b/>
          <w:color w:val="212121"/>
          <w:sz w:val="23"/>
          <w:szCs w:val="23"/>
          <w:lang w:eastAsia="es-MX"/>
        </w:rPr>
      </w:pPr>
      <w:r w:rsidRPr="001A2D34">
        <w:rPr>
          <w:rFonts w:ascii="Avenir Next LT Pro" w:eastAsia="Times New Roman" w:hAnsi="Avenir Next LT Pro" w:cs="Segoe UI"/>
          <w:b/>
          <w:color w:val="212121"/>
          <w:sz w:val="23"/>
          <w:szCs w:val="23"/>
          <w:lang w:eastAsia="es-MX"/>
        </w:rPr>
        <w:t>PERSONAS JUBILADAS Y PENSIONADAS</w:t>
      </w:r>
    </w:p>
    <w:p w14:paraId="3FC3E402" w14:textId="77777777" w:rsidR="004459F2" w:rsidRPr="001A2D34" w:rsidRDefault="004459F2" w:rsidP="00142A2F">
      <w:pPr>
        <w:tabs>
          <w:tab w:val="left" w:pos="9072"/>
        </w:tabs>
        <w:spacing w:after="0" w:line="360" w:lineRule="auto"/>
        <w:ind w:right="823"/>
        <w:jc w:val="both"/>
        <w:rPr>
          <w:rFonts w:ascii="Avenir Next LT Pro" w:hAnsi="Avenir Next LT Pro" w:cs="Arial"/>
          <w:sz w:val="23"/>
          <w:szCs w:val="23"/>
        </w:rPr>
      </w:pPr>
    </w:p>
    <w:p w14:paraId="7C74A776" w14:textId="366D1144" w:rsidR="001A2D34" w:rsidRPr="001A2D34" w:rsidRDefault="004459F2" w:rsidP="004459F2">
      <w:pPr>
        <w:tabs>
          <w:tab w:val="left" w:pos="9072"/>
        </w:tabs>
        <w:spacing w:after="0" w:line="360" w:lineRule="auto"/>
        <w:ind w:right="823"/>
        <w:jc w:val="both"/>
        <w:rPr>
          <w:rFonts w:ascii="Avenir Next LT Pro" w:hAnsi="Avenir Next LT Pro" w:cs="Arial"/>
          <w:sz w:val="23"/>
          <w:szCs w:val="23"/>
        </w:rPr>
      </w:pPr>
      <w:r w:rsidRPr="001A2D34">
        <w:rPr>
          <w:rFonts w:ascii="Avenir Next LT Pro" w:hAnsi="Avenir Next LT Pro" w:cs="Arial"/>
          <w:sz w:val="23"/>
          <w:szCs w:val="23"/>
        </w:rPr>
        <w:t>En cumplimiento del artículo 65, fracción X</w:t>
      </w:r>
      <w:r w:rsidR="0080174C">
        <w:rPr>
          <w:rFonts w:ascii="Avenir Next LT Pro" w:hAnsi="Avenir Next LT Pro" w:cs="Arial"/>
          <w:sz w:val="23"/>
          <w:szCs w:val="23"/>
        </w:rPr>
        <w:t>L</w:t>
      </w:r>
      <w:r w:rsidRPr="001A2D34">
        <w:rPr>
          <w:rFonts w:ascii="Avenir Next LT Pro" w:hAnsi="Avenir Next LT Pro" w:cs="Arial"/>
          <w:sz w:val="23"/>
          <w:szCs w:val="23"/>
        </w:rPr>
        <w:t>, de la Ley General de Transparencia y Acceso a la Información Pública, no aplica, debido a que se encuentra fuera del objeto y funciones de este Tribunal, conforme a lo establecido en el artículo 3° de la Ley Orgánica del Tribunal de Justicia Administrativa de Coahuila de Zaragoza.</w:t>
      </w:r>
    </w:p>
    <w:p w14:paraId="619771B6" w14:textId="742CF9B6" w:rsidR="004459F2" w:rsidRPr="001A2D34" w:rsidRDefault="004459F2" w:rsidP="004459F2">
      <w:pPr>
        <w:tabs>
          <w:tab w:val="left" w:pos="9072"/>
        </w:tabs>
        <w:spacing w:after="0" w:line="360" w:lineRule="auto"/>
        <w:ind w:right="823"/>
        <w:jc w:val="both"/>
        <w:rPr>
          <w:rFonts w:ascii="Avenir Next LT Pro" w:hAnsi="Avenir Next LT Pro" w:cs="Arial"/>
          <w:sz w:val="23"/>
          <w:szCs w:val="23"/>
        </w:rPr>
      </w:pPr>
      <w:r w:rsidRPr="001A2D34">
        <w:rPr>
          <w:rFonts w:ascii="Avenir Next LT Pro" w:hAnsi="Avenir Next LT Pro" w:cs="Arial"/>
          <w:sz w:val="23"/>
          <w:szCs w:val="23"/>
        </w:rPr>
        <w:t xml:space="preserve"> </w:t>
      </w:r>
    </w:p>
    <w:p w14:paraId="09F24E74" w14:textId="77777777" w:rsidR="004459F2" w:rsidRPr="001A2D34" w:rsidRDefault="004459F2" w:rsidP="004459F2">
      <w:pPr>
        <w:tabs>
          <w:tab w:val="left" w:pos="9072"/>
        </w:tabs>
        <w:spacing w:after="0" w:line="360" w:lineRule="auto"/>
        <w:ind w:right="823"/>
        <w:jc w:val="both"/>
        <w:rPr>
          <w:rFonts w:ascii="Avenir Next LT Pro" w:hAnsi="Avenir Next LT Pro" w:cs="Arial"/>
          <w:sz w:val="23"/>
          <w:szCs w:val="23"/>
        </w:rPr>
      </w:pPr>
      <w:r w:rsidRPr="001A2D34">
        <w:rPr>
          <w:rFonts w:ascii="Avenir Next LT Pro" w:hAnsi="Avenir Next LT Pro" w:cs="Arial"/>
          <w:sz w:val="23"/>
          <w:szCs w:val="23"/>
        </w:rPr>
        <w:t>De acuerdo con lo dispuesto en el artículo 22, fracción XXXI, de la Ley Orgánica de la Administración Pública del Estado de Coahuila de Zaragoza, y el artículo 76 de la Ley de Pensiones del Estado de Coahuila de Zaragoza, corresponde al Instituto de Pensiones para los Trabajadores al Servicio del Estado la administración de los fondos de pensiones de los servidores públicos.</w:t>
      </w:r>
    </w:p>
    <w:p w14:paraId="71174D0B" w14:textId="77777777" w:rsidR="001A2D34" w:rsidRPr="001A2D34" w:rsidRDefault="001A2D34" w:rsidP="004459F2">
      <w:pPr>
        <w:tabs>
          <w:tab w:val="left" w:pos="9072"/>
        </w:tabs>
        <w:spacing w:after="0" w:line="360" w:lineRule="auto"/>
        <w:ind w:right="823"/>
        <w:jc w:val="both"/>
        <w:rPr>
          <w:rFonts w:ascii="Avenir Next LT Pro" w:hAnsi="Avenir Next LT Pro" w:cs="Arial"/>
          <w:sz w:val="23"/>
          <w:szCs w:val="23"/>
        </w:rPr>
      </w:pPr>
    </w:p>
    <w:p w14:paraId="2FB86ADE" w14:textId="77777777" w:rsidR="004459F2" w:rsidRPr="001A2D34" w:rsidRDefault="004459F2" w:rsidP="004459F2">
      <w:pPr>
        <w:tabs>
          <w:tab w:val="left" w:pos="9072"/>
        </w:tabs>
        <w:spacing w:after="0" w:line="360" w:lineRule="auto"/>
        <w:ind w:right="823"/>
        <w:jc w:val="both"/>
        <w:rPr>
          <w:rFonts w:ascii="Avenir Next LT Pro" w:hAnsi="Avenir Next LT Pro" w:cs="Arial"/>
          <w:sz w:val="23"/>
          <w:szCs w:val="23"/>
        </w:rPr>
      </w:pPr>
      <w:r w:rsidRPr="001A2D34">
        <w:rPr>
          <w:rFonts w:ascii="Avenir Next LT Pro" w:hAnsi="Avenir Next LT Pro" w:cs="Arial"/>
          <w:sz w:val="23"/>
          <w:szCs w:val="23"/>
        </w:rPr>
        <w:t>El listado de jubilados y pensionados es generado y publicado por dicho Instituto como parte de las prestaciones legales que derivan del esquema de Seguridad Social previsto en la Ley de Pensiones, así como de otros beneficios sociales para los trabajadores al servicio del Estado de Coahuila de Zaragoza.</w:t>
      </w:r>
    </w:p>
    <w:p w14:paraId="0E9F544F" w14:textId="77777777" w:rsidR="001A2D34" w:rsidRPr="001A2D34" w:rsidRDefault="001A2D34" w:rsidP="004459F2">
      <w:pPr>
        <w:tabs>
          <w:tab w:val="left" w:pos="9072"/>
        </w:tabs>
        <w:spacing w:after="0" w:line="360" w:lineRule="auto"/>
        <w:ind w:right="823"/>
        <w:jc w:val="both"/>
        <w:rPr>
          <w:rFonts w:ascii="Avenir Next LT Pro" w:hAnsi="Avenir Next LT Pro" w:cs="Arial"/>
          <w:sz w:val="23"/>
          <w:szCs w:val="23"/>
        </w:rPr>
      </w:pPr>
    </w:p>
    <w:p w14:paraId="50E89F5D" w14:textId="60BBF35D" w:rsidR="004459F2" w:rsidRPr="001A2D34" w:rsidRDefault="004459F2" w:rsidP="004459F2">
      <w:pPr>
        <w:tabs>
          <w:tab w:val="left" w:pos="9072"/>
        </w:tabs>
        <w:spacing w:after="0" w:line="360" w:lineRule="auto"/>
        <w:ind w:right="823"/>
        <w:jc w:val="both"/>
        <w:rPr>
          <w:rFonts w:ascii="Avenir Next LT Pro" w:hAnsi="Avenir Next LT Pro" w:cs="Arial"/>
          <w:sz w:val="23"/>
          <w:szCs w:val="23"/>
        </w:rPr>
      </w:pPr>
      <w:r w:rsidRPr="001A2D34">
        <w:rPr>
          <w:rFonts w:ascii="Avenir Next LT Pro" w:hAnsi="Avenir Next LT Pro" w:cs="Arial"/>
          <w:sz w:val="23"/>
          <w:szCs w:val="23"/>
        </w:rPr>
        <w:t>Si desea consultar el estado que guardan las pensiones, favor de seguir el enlace a continuación para ser redirigido al apartado correspondiente:</w:t>
      </w:r>
    </w:p>
    <w:bookmarkStart w:id="0" w:name="_Hlk208235019"/>
    <w:p w14:paraId="34A0657B" w14:textId="77777777" w:rsidR="0090786B" w:rsidRPr="001A7264" w:rsidRDefault="0090786B" w:rsidP="0090786B">
      <w:pPr>
        <w:tabs>
          <w:tab w:val="left" w:pos="9072"/>
        </w:tabs>
        <w:spacing w:after="0" w:line="360" w:lineRule="auto"/>
        <w:ind w:right="823"/>
        <w:jc w:val="both"/>
        <w:rPr>
          <w:rFonts w:ascii="Avenir Next LT Pro" w:hAnsi="Avenir Next LT Pro"/>
          <w:b/>
          <w:bCs/>
          <w:sz w:val="24"/>
          <w:szCs w:val="24"/>
        </w:rPr>
      </w:pPr>
      <w:r>
        <w:fldChar w:fldCharType="begin"/>
      </w:r>
      <w:r>
        <w:instrText>HYPERLINK "https://www.coahuilatransparente.gob.mx/RutaDataFiles/BD/EstadoqueGuardanlasPensiones/IPPTSEPensiones1131h3hysaz64u84.pdf"</w:instrText>
      </w:r>
      <w:r>
        <w:fldChar w:fldCharType="separate"/>
      </w:r>
      <w:r w:rsidRPr="001A7264">
        <w:rPr>
          <w:rStyle w:val="Hipervnculo"/>
          <w:rFonts w:ascii="Avenir Next LT Pro" w:hAnsi="Avenir Next LT Pro"/>
          <w:b/>
          <w:bCs/>
          <w:sz w:val="24"/>
          <w:szCs w:val="24"/>
        </w:rPr>
        <w:t>https://www.coahuilatransparente.gob.mx/RutaDataFiles/BD/EstadoqueGuardanlasPensiones/IPPTSEPensiones1131h3hysaz64u84.pdf</w:t>
      </w:r>
      <w:r>
        <w:fldChar w:fldCharType="end"/>
      </w:r>
    </w:p>
    <w:p w14:paraId="0861DE07" w14:textId="77777777" w:rsidR="0090786B" w:rsidRPr="001A7264" w:rsidRDefault="0090786B" w:rsidP="0090786B">
      <w:pPr>
        <w:tabs>
          <w:tab w:val="left" w:pos="9072"/>
        </w:tabs>
        <w:spacing w:after="0" w:line="360" w:lineRule="auto"/>
        <w:ind w:right="823"/>
        <w:jc w:val="both"/>
        <w:rPr>
          <w:rStyle w:val="Hipervnculo"/>
          <w:rFonts w:ascii="Avenir Next LT Pro" w:hAnsi="Avenir Next LT Pro" w:cs="Arial"/>
          <w:b/>
          <w:bCs/>
          <w:color w:val="auto"/>
          <w:sz w:val="24"/>
          <w:szCs w:val="24"/>
        </w:rPr>
      </w:pPr>
      <w:r w:rsidRPr="001A7264">
        <w:rPr>
          <w:rFonts w:ascii="Avenir Next LT Pro" w:hAnsi="Avenir Next LT Pro"/>
          <w:sz w:val="24"/>
          <w:szCs w:val="24"/>
        </w:rPr>
        <w:t xml:space="preserve"> </w:t>
      </w:r>
    </w:p>
    <w:p w14:paraId="22A502D2" w14:textId="77777777" w:rsidR="0090786B" w:rsidRDefault="0090786B" w:rsidP="001A2D34">
      <w:pPr>
        <w:tabs>
          <w:tab w:val="left" w:pos="9072"/>
        </w:tabs>
        <w:spacing w:after="0" w:line="360" w:lineRule="auto"/>
        <w:ind w:right="823"/>
        <w:jc w:val="both"/>
        <w:rPr>
          <w:rFonts w:ascii="Avenir Next LT Pro" w:hAnsi="Avenir Next LT Pro"/>
          <w:b/>
          <w:i/>
          <w:iCs/>
          <w:sz w:val="18"/>
          <w:szCs w:val="18"/>
          <w:lang w:val="es-ES"/>
        </w:rPr>
      </w:pPr>
    </w:p>
    <w:p w14:paraId="52BC6C87" w14:textId="38515134" w:rsidR="00142A2F" w:rsidRPr="00221DFF" w:rsidRDefault="00142A2F" w:rsidP="001A2D34">
      <w:pPr>
        <w:tabs>
          <w:tab w:val="left" w:pos="9072"/>
        </w:tabs>
        <w:spacing w:after="0" w:line="360" w:lineRule="auto"/>
        <w:ind w:right="823"/>
        <w:jc w:val="both"/>
        <w:rPr>
          <w:rFonts w:ascii="Avenir Next LT Pro" w:hAnsi="Avenir Next LT Pro"/>
          <w:i/>
          <w:iCs/>
          <w:sz w:val="18"/>
          <w:szCs w:val="18"/>
          <w:lang w:val="es-ES"/>
        </w:rPr>
      </w:pPr>
      <w:r w:rsidRPr="00221DFF">
        <w:rPr>
          <w:rFonts w:ascii="Avenir Next LT Pro" w:hAnsi="Avenir Next LT Pro"/>
          <w:b/>
          <w:i/>
          <w:iCs/>
          <w:sz w:val="18"/>
          <w:szCs w:val="18"/>
          <w:lang w:val="es-ES"/>
        </w:rPr>
        <w:t>Elaborado por:</w:t>
      </w:r>
      <w:r w:rsidRPr="00221DFF">
        <w:rPr>
          <w:rFonts w:ascii="Avenir Next LT Pro" w:hAnsi="Avenir Next LT Pro"/>
          <w:i/>
          <w:iCs/>
          <w:sz w:val="18"/>
          <w:szCs w:val="18"/>
          <w:lang w:val="es-ES"/>
        </w:rPr>
        <w:t xml:space="preserve"> </w:t>
      </w:r>
      <w:r w:rsidR="00C175F6" w:rsidRPr="00221DFF">
        <w:rPr>
          <w:rFonts w:ascii="Avenir Next LT Pro" w:hAnsi="Avenir Next LT Pro"/>
          <w:i/>
          <w:iCs/>
          <w:sz w:val="18"/>
          <w:szCs w:val="18"/>
          <w:lang w:val="es-ES"/>
        </w:rPr>
        <w:t xml:space="preserve">Ing. </w:t>
      </w:r>
      <w:r w:rsidRPr="00221DFF">
        <w:rPr>
          <w:rFonts w:ascii="Avenir Next LT Pro" w:hAnsi="Avenir Next LT Pro"/>
          <w:i/>
          <w:iCs/>
          <w:sz w:val="18"/>
          <w:szCs w:val="18"/>
          <w:lang w:val="es-ES"/>
        </w:rPr>
        <w:t>Ana Gabriela Tovar Mireles. - Directora de Recursos Humanos</w:t>
      </w:r>
    </w:p>
    <w:p w14:paraId="219C6244" w14:textId="053B76B5" w:rsidR="00142A2F" w:rsidRPr="00221DFF" w:rsidRDefault="00142A2F" w:rsidP="001A2D34">
      <w:pPr>
        <w:spacing w:after="0" w:line="360" w:lineRule="auto"/>
        <w:ind w:right="681"/>
        <w:jc w:val="both"/>
        <w:rPr>
          <w:rFonts w:ascii="Avenir Next LT Pro" w:hAnsi="Avenir Next LT Pro"/>
          <w:i/>
          <w:iCs/>
          <w:sz w:val="18"/>
          <w:szCs w:val="18"/>
          <w:lang w:val="es-ES"/>
        </w:rPr>
      </w:pPr>
      <w:r w:rsidRPr="00221DFF">
        <w:rPr>
          <w:rFonts w:ascii="Avenir Next LT Pro" w:hAnsi="Avenir Next LT Pro"/>
          <w:b/>
          <w:i/>
          <w:iCs/>
          <w:sz w:val="18"/>
          <w:szCs w:val="18"/>
          <w:lang w:val="es-ES"/>
        </w:rPr>
        <w:t>Autorizado por:</w:t>
      </w:r>
      <w:r w:rsidRPr="00221DFF">
        <w:rPr>
          <w:rFonts w:ascii="Avenir Next LT Pro" w:hAnsi="Avenir Next LT Pro"/>
          <w:i/>
          <w:iCs/>
          <w:sz w:val="18"/>
          <w:szCs w:val="18"/>
          <w:lang w:val="es-ES"/>
        </w:rPr>
        <w:t xml:space="preserve"> </w:t>
      </w:r>
      <w:r w:rsidR="00C175F6" w:rsidRPr="00221DFF">
        <w:rPr>
          <w:rFonts w:ascii="Avenir Next LT Pro" w:hAnsi="Avenir Next LT Pro"/>
          <w:i/>
          <w:iCs/>
          <w:sz w:val="18"/>
          <w:szCs w:val="18"/>
          <w:lang w:val="es-ES"/>
        </w:rPr>
        <w:t xml:space="preserve">Lic. </w:t>
      </w:r>
      <w:r w:rsidR="00867452" w:rsidRPr="00221DFF">
        <w:rPr>
          <w:rFonts w:ascii="Avenir Next LT Pro" w:hAnsi="Avenir Next LT Pro"/>
          <w:i/>
          <w:iCs/>
          <w:sz w:val="18"/>
          <w:szCs w:val="18"/>
          <w:lang w:val="es-ES"/>
        </w:rPr>
        <w:t>María Guadalupe Saucedo Sánchez</w:t>
      </w:r>
      <w:r w:rsidRPr="00221DFF">
        <w:rPr>
          <w:rFonts w:ascii="Avenir Next LT Pro" w:hAnsi="Avenir Next LT Pro"/>
          <w:i/>
          <w:iCs/>
          <w:sz w:val="18"/>
          <w:szCs w:val="18"/>
          <w:lang w:val="es-ES"/>
        </w:rPr>
        <w:t>. - Oficial Mayor</w:t>
      </w:r>
    </w:p>
    <w:p w14:paraId="11D87185" w14:textId="064A7CE9" w:rsidR="00EA76C8" w:rsidRPr="00221DFF" w:rsidRDefault="00142A2F" w:rsidP="009F0DA9">
      <w:pPr>
        <w:spacing w:after="0" w:line="360" w:lineRule="auto"/>
        <w:ind w:right="681"/>
        <w:jc w:val="both"/>
        <w:rPr>
          <w:rFonts w:ascii="Avenir Next LT Pro" w:hAnsi="Avenir Next LT Pro"/>
          <w:i/>
          <w:iCs/>
          <w:sz w:val="18"/>
          <w:szCs w:val="18"/>
          <w:lang w:val="es-ES"/>
        </w:rPr>
      </w:pPr>
      <w:r w:rsidRPr="00221DFF">
        <w:rPr>
          <w:rFonts w:ascii="Avenir Next LT Pro" w:hAnsi="Avenir Next LT Pro"/>
          <w:b/>
          <w:i/>
          <w:iCs/>
          <w:sz w:val="18"/>
          <w:szCs w:val="18"/>
          <w:lang w:val="es-ES"/>
        </w:rPr>
        <w:t>Fecha de actualización y/o revisión:</w:t>
      </w:r>
      <w:r w:rsidRPr="00221DFF">
        <w:rPr>
          <w:rFonts w:ascii="Avenir Next LT Pro" w:hAnsi="Avenir Next LT Pro"/>
          <w:i/>
          <w:iCs/>
          <w:sz w:val="18"/>
          <w:szCs w:val="18"/>
          <w:lang w:val="es-ES"/>
        </w:rPr>
        <w:t xml:space="preserve"> </w:t>
      </w:r>
      <w:r w:rsidR="003C542B">
        <w:rPr>
          <w:rFonts w:ascii="Avenir Next LT Pro" w:hAnsi="Avenir Next LT Pro"/>
          <w:i/>
          <w:iCs/>
          <w:sz w:val="18"/>
          <w:szCs w:val="18"/>
          <w:lang w:val="es-ES"/>
        </w:rPr>
        <w:t>01</w:t>
      </w:r>
      <w:r w:rsidRPr="00221DFF">
        <w:rPr>
          <w:rFonts w:ascii="Avenir Next LT Pro" w:hAnsi="Avenir Next LT Pro"/>
          <w:i/>
          <w:iCs/>
          <w:sz w:val="18"/>
          <w:szCs w:val="18"/>
          <w:lang w:val="es-ES"/>
        </w:rPr>
        <w:t>/</w:t>
      </w:r>
      <w:r w:rsidR="003C542B">
        <w:rPr>
          <w:rFonts w:ascii="Avenir Next LT Pro" w:hAnsi="Avenir Next LT Pro"/>
          <w:i/>
          <w:iCs/>
          <w:sz w:val="18"/>
          <w:szCs w:val="18"/>
          <w:lang w:val="es-ES"/>
        </w:rPr>
        <w:t>10</w:t>
      </w:r>
      <w:r w:rsidRPr="00221DFF">
        <w:rPr>
          <w:rFonts w:ascii="Avenir Next LT Pro" w:hAnsi="Avenir Next LT Pro"/>
          <w:i/>
          <w:iCs/>
          <w:sz w:val="18"/>
          <w:szCs w:val="18"/>
          <w:lang w:val="es-ES"/>
        </w:rPr>
        <w:t>/202</w:t>
      </w:r>
      <w:r w:rsidR="0025073C" w:rsidRPr="00221DFF">
        <w:rPr>
          <w:rFonts w:ascii="Avenir Next LT Pro" w:hAnsi="Avenir Next LT Pro"/>
          <w:i/>
          <w:iCs/>
          <w:sz w:val="18"/>
          <w:szCs w:val="18"/>
          <w:lang w:val="es-ES"/>
        </w:rPr>
        <w:t>5</w:t>
      </w:r>
      <w:bookmarkEnd w:id="0"/>
      <w:r w:rsidR="00E1134B">
        <w:rPr>
          <w:rFonts w:ascii="Avenir Next LT Pro" w:hAnsi="Avenir Next LT Pro"/>
          <w:i/>
          <w:iCs/>
          <w:sz w:val="18"/>
          <w:szCs w:val="18"/>
          <w:lang w:val="es-ES"/>
        </w:rPr>
        <w:t>.</w:t>
      </w:r>
    </w:p>
    <w:sectPr w:rsidR="00EA76C8" w:rsidRPr="00221DFF" w:rsidSect="00854C61">
      <w:headerReference w:type="default" r:id="rId7"/>
      <w:footerReference w:type="default" r:id="rId8"/>
      <w:pgSz w:w="12240" w:h="15840"/>
      <w:pgMar w:top="2625" w:right="1134" w:bottom="1418" w:left="1134"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D1207" w14:textId="77777777" w:rsidR="00CA22F3" w:rsidRDefault="00CA22F3" w:rsidP="00A71679">
      <w:pPr>
        <w:spacing w:after="0" w:line="240" w:lineRule="auto"/>
      </w:pPr>
      <w:r>
        <w:separator/>
      </w:r>
    </w:p>
  </w:endnote>
  <w:endnote w:type="continuationSeparator" w:id="0">
    <w:p w14:paraId="4007D718" w14:textId="77777777" w:rsidR="00CA22F3" w:rsidRDefault="00CA22F3" w:rsidP="00A7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1F3F" w14:textId="77777777" w:rsidR="00E82EB9" w:rsidRPr="00E82EB9" w:rsidRDefault="00E82EB9" w:rsidP="00E82EB9">
    <w:pPr>
      <w:pBdr>
        <w:top w:val="single" w:sz="24" w:space="1" w:color="1F3864" w:themeColor="accent1" w:themeShade="80"/>
      </w:pBdr>
      <w:spacing w:after="0" w:line="160" w:lineRule="atLeast"/>
      <w:ind w:left="-1701" w:right="-1652"/>
      <w:jc w:val="center"/>
      <w:rPr>
        <w:rFonts w:ascii="Avenir Next LT Pro" w:eastAsia="Times New Roman" w:hAnsi="Avenir Next LT Pro" w:cs="Arial"/>
        <w:color w:val="1F3864" w:themeColor="accent1" w:themeShade="80"/>
        <w:sz w:val="16"/>
        <w:szCs w:val="16"/>
        <w:lang w:eastAsia="es-MX"/>
      </w:rPr>
    </w:pPr>
    <w:bookmarkStart w:id="1" w:name="_Hlk128124309"/>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197E9DE9" wp14:editId="3144A2B3">
          <wp:extent cx="144000" cy="144000"/>
          <wp:effectExtent l="0" t="0" r="8890" b="8890"/>
          <wp:docPr id="67" name="Gráfico 67" descr="Marcado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5" descr="Marcador con relleno sólido"/>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4000" cy="144000"/>
                  </a:xfrm>
                  <a:prstGeom prst="rect">
                    <a:avLst/>
                  </a:prstGeom>
                </pic:spPr>
              </pic:pic>
            </a:graphicData>
          </a:graphic>
        </wp:inline>
      </w:drawing>
    </w:r>
    <w:r w:rsidRPr="00E82EB9">
      <w:rPr>
        <w:rFonts w:ascii="Avenir Next LT Pro" w:eastAsia="Times New Roman" w:hAnsi="Avenir Next LT Pro" w:cs="Arial"/>
        <w:color w:val="1F3864" w:themeColor="accent1" w:themeShade="80"/>
        <w:sz w:val="16"/>
        <w:szCs w:val="16"/>
        <w:lang w:eastAsia="es-MX"/>
      </w:rPr>
      <w:t>Blvd. Francisco Coss s/n, entre Purcell y Presidente Cárdenas, Zona Centro, C.P 25000, Saltillo, Coahuila de Zaragoza</w:t>
    </w:r>
  </w:p>
  <w:p w14:paraId="1E1A1406" w14:textId="4A41D7B8" w:rsidR="00EA76C8" w:rsidRPr="00E82EB9" w:rsidRDefault="00E82EB9" w:rsidP="00E82EB9">
    <w:pPr>
      <w:spacing w:after="0" w:line="160" w:lineRule="atLeast"/>
      <w:ind w:left="-851" w:right="-941"/>
      <w:jc w:val="center"/>
      <w:rPr>
        <w:rFonts w:ascii="Avenir Next LT Pro" w:eastAsia="Times New Roman" w:hAnsi="Avenir Next LT Pro" w:cs="Arial"/>
        <w:color w:val="1F3864" w:themeColor="accent1" w:themeShade="80"/>
        <w:sz w:val="16"/>
        <w:szCs w:val="16"/>
        <w:lang w:val="es-ES" w:eastAsia="es-MX"/>
      </w:rPr>
    </w:pPr>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2F0FD755" wp14:editId="38CD64FC">
          <wp:extent cx="108000" cy="108000"/>
          <wp:effectExtent l="0" t="0" r="6350" b="6350"/>
          <wp:docPr id="68" name="Gráfico 68" descr="Auricula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Auricular con relleno sólido"/>
                  <pic:cNvPicPr/>
                </pic:nvPicPr>
                <pic:blipFill>
                  <a:blip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08000" cy="108000"/>
                  </a:xfrm>
                  <a:prstGeom prst="rect">
                    <a:avLst/>
                  </a:prstGeom>
                </pic:spPr>
              </pic:pic>
            </a:graphicData>
          </a:graphic>
        </wp:inline>
      </w:drawing>
    </w:r>
    <w:r w:rsidRPr="00E82EB9">
      <w:rPr>
        <w:rFonts w:ascii="Avenir Next LT Pro" w:eastAsia="Times New Roman" w:hAnsi="Avenir Next LT Pro" w:cs="Arial"/>
        <w:color w:val="1F3864" w:themeColor="accent1" w:themeShade="80"/>
        <w:sz w:val="16"/>
        <w:szCs w:val="16"/>
        <w:lang w:eastAsia="es-MX"/>
      </w:rPr>
      <w:t xml:space="preserve">(844) 1 23 03 10 Oficina del Tribunal </w:t>
    </w:r>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492B67D5" wp14:editId="7920F275">
          <wp:extent cx="180000" cy="180000"/>
          <wp:effectExtent l="0" t="0" r="0" b="0"/>
          <wp:docPr id="69" name="Gráfico 69" descr="Internet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Internet con relleno sólido"/>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80000" cy="180000"/>
                  </a:xfrm>
                  <a:prstGeom prst="rect">
                    <a:avLst/>
                  </a:prstGeom>
                </pic:spPr>
              </pic:pic>
            </a:graphicData>
          </a:graphic>
        </wp:inline>
      </w:drawing>
    </w:r>
    <w:r w:rsidRPr="00E82EB9">
      <w:rPr>
        <w:rFonts w:ascii="Avenir Next LT Pro" w:eastAsia="Times New Roman" w:hAnsi="Avenir Next LT Pro" w:cs="Arial"/>
        <w:color w:val="1F3864" w:themeColor="accent1" w:themeShade="80"/>
        <w:sz w:val="16"/>
        <w:szCs w:val="16"/>
        <w:lang w:eastAsia="es-MX"/>
      </w:rPr>
      <w:t xml:space="preserve"> </w:t>
    </w:r>
    <w:hyperlink r:id="rId7" w:history="1">
      <w:r w:rsidRPr="00E82EB9">
        <w:rPr>
          <w:rStyle w:val="Hipervnculo"/>
          <w:rFonts w:ascii="Avenir Next LT Pro" w:eastAsia="Times New Roman" w:hAnsi="Avenir Next LT Pro" w:cs="Arial"/>
          <w:color w:val="1F3864" w:themeColor="accent1" w:themeShade="80"/>
          <w:sz w:val="16"/>
          <w:szCs w:val="16"/>
          <w:lang w:eastAsia="es-MX"/>
        </w:rPr>
        <w:t>http://www.tjacoahuila.org</w:t>
      </w:r>
    </w:hyperlink>
    <w:r w:rsidRPr="00E82EB9">
      <w:rPr>
        <w:rStyle w:val="Hipervnculo"/>
        <w:rFonts w:ascii="Avenir Next LT Pro" w:eastAsia="Times New Roman" w:hAnsi="Avenir Next LT Pro" w:cs="Arial"/>
        <w:color w:val="1F3864" w:themeColor="accent1" w:themeShade="80"/>
        <w:sz w:val="16"/>
        <w:szCs w:val="16"/>
        <w:lang w:eastAsia="es-MX"/>
      </w:rPr>
      <w:t xml:space="preserve"> </w:t>
    </w:r>
    <w:r w:rsidRPr="00E82EB9">
      <w:rPr>
        <w:noProof/>
        <w:color w:val="1F3864" w:themeColor="accent1" w:themeShade="80"/>
      </w:rPr>
      <w:drawing>
        <wp:inline distT="0" distB="0" distL="0" distR="0" wp14:anchorId="7750DF07" wp14:editId="4F7A7930">
          <wp:extent cx="180000" cy="180000"/>
          <wp:effectExtent l="0" t="0" r="0" b="0"/>
          <wp:docPr id="70" name="Gráfico 70" descr="Correo electrónic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áfico 8" descr="Correo electrónico con relleno sólido"/>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80000" cy="180000"/>
                  </a:xfrm>
                  <a:prstGeom prst="rect">
                    <a:avLst/>
                  </a:prstGeom>
                </pic:spPr>
              </pic:pic>
            </a:graphicData>
          </a:graphic>
        </wp:inline>
      </w:drawing>
    </w:r>
    <w:hyperlink r:id="rId10" w:history="1">
      <w:r w:rsidRPr="00E82EB9">
        <w:rPr>
          <w:rFonts w:ascii="Avenir Next LT Pro" w:eastAsia="Times New Roman" w:hAnsi="Avenir Next LT Pro" w:cs="Arial"/>
          <w:color w:val="1F3864" w:themeColor="accent1" w:themeShade="80"/>
          <w:sz w:val="16"/>
          <w:szCs w:val="16"/>
          <w:u w:val="single"/>
          <w:lang w:eastAsia="es-MX"/>
        </w:rPr>
        <w:t>tribunaldejusticiaadministrativa@tjacoahuila.org.mx</w:t>
      </w:r>
    </w:hyperlink>
  </w:p>
  <w:bookmarkEnd w:id="1"/>
  <w:p w14:paraId="3227E1C5" w14:textId="6E1FD3F1" w:rsidR="00A71679" w:rsidRDefault="00A716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7AC93" w14:textId="77777777" w:rsidR="00CA22F3" w:rsidRDefault="00CA22F3" w:rsidP="00A71679">
      <w:pPr>
        <w:spacing w:after="0" w:line="240" w:lineRule="auto"/>
      </w:pPr>
      <w:r>
        <w:separator/>
      </w:r>
    </w:p>
  </w:footnote>
  <w:footnote w:type="continuationSeparator" w:id="0">
    <w:p w14:paraId="6E8FCA5E" w14:textId="77777777" w:rsidR="00CA22F3" w:rsidRDefault="00CA22F3" w:rsidP="00A71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7100" w14:textId="1C451448" w:rsidR="00AA5C73" w:rsidRDefault="00AA5C73" w:rsidP="00A71679">
    <w:pPr>
      <w:pStyle w:val="Encabezado"/>
      <w:jc w:val="center"/>
    </w:pPr>
  </w:p>
  <w:tbl>
    <w:tblPr>
      <w:tblStyle w:val="Tablaconcuadrcula"/>
      <w:tblW w:w="12824" w:type="dxa"/>
      <w:tblInd w:w="-1706" w:type="dxa"/>
      <w:tblLook w:val="04A0" w:firstRow="1" w:lastRow="0" w:firstColumn="1" w:lastColumn="0" w:noHBand="0" w:noVBand="1"/>
    </w:tblPr>
    <w:tblGrid>
      <w:gridCol w:w="4750"/>
      <w:gridCol w:w="445"/>
      <w:gridCol w:w="2434"/>
      <w:gridCol w:w="444"/>
      <w:gridCol w:w="4751"/>
    </w:tblGrid>
    <w:tr w:rsidR="00CE3201" w14:paraId="72D243ED" w14:textId="77777777" w:rsidTr="00C175F6">
      <w:trPr>
        <w:trHeight w:val="351"/>
      </w:trPr>
      <w:tc>
        <w:tcPr>
          <w:tcW w:w="4750" w:type="dxa"/>
          <w:tcBorders>
            <w:top w:val="nil"/>
            <w:left w:val="nil"/>
            <w:bottom w:val="single" w:sz="24" w:space="0" w:color="1F3864" w:themeColor="accent1" w:themeShade="80"/>
            <w:right w:val="nil"/>
          </w:tcBorders>
        </w:tcPr>
        <w:p w14:paraId="1D810A76" w14:textId="38E7765C" w:rsidR="00CE3201" w:rsidRPr="00CE3201" w:rsidRDefault="00CE3201" w:rsidP="00CE3201">
          <w:pPr>
            <w:pStyle w:val="Encabezado"/>
            <w:rPr>
              <w:b/>
              <w:bCs/>
              <w:color w:val="2F5496" w:themeColor="accent1" w:themeShade="BF"/>
            </w:rPr>
          </w:pPr>
        </w:p>
      </w:tc>
      <w:tc>
        <w:tcPr>
          <w:tcW w:w="445" w:type="dxa"/>
          <w:tcBorders>
            <w:top w:val="nil"/>
            <w:left w:val="nil"/>
            <w:bottom w:val="nil"/>
            <w:right w:val="nil"/>
          </w:tcBorders>
        </w:tcPr>
        <w:p w14:paraId="7A7B15B9" w14:textId="77777777" w:rsidR="00CE3201" w:rsidRPr="00CE3201" w:rsidRDefault="00CE3201" w:rsidP="00A71679">
          <w:pPr>
            <w:pStyle w:val="Encabezado"/>
            <w:jc w:val="center"/>
            <w:rPr>
              <w:b/>
              <w:bCs/>
              <w:color w:val="2F5496" w:themeColor="accent1" w:themeShade="BF"/>
            </w:rPr>
          </w:pPr>
        </w:p>
      </w:tc>
      <w:tc>
        <w:tcPr>
          <w:tcW w:w="2434" w:type="dxa"/>
          <w:vMerge w:val="restart"/>
          <w:tcBorders>
            <w:top w:val="nil"/>
            <w:left w:val="nil"/>
            <w:bottom w:val="nil"/>
            <w:right w:val="nil"/>
          </w:tcBorders>
        </w:tcPr>
        <w:p w14:paraId="5EFD57A3" w14:textId="2127C980" w:rsidR="00CE3201" w:rsidRPr="00CE3201" w:rsidRDefault="00EA76C8" w:rsidP="00A71679">
          <w:pPr>
            <w:pStyle w:val="Encabezado"/>
            <w:jc w:val="center"/>
            <w:rPr>
              <w:b/>
              <w:bCs/>
              <w:color w:val="2F5496" w:themeColor="accent1" w:themeShade="BF"/>
            </w:rPr>
          </w:pPr>
          <w:r>
            <w:rPr>
              <w:noProof/>
            </w:rPr>
            <w:drawing>
              <wp:anchor distT="0" distB="0" distL="114300" distR="114300" simplePos="0" relativeHeight="251659264" behindDoc="0" locked="0" layoutInCell="1" allowOverlap="1" wp14:anchorId="44B80AF9" wp14:editId="660500FC">
                <wp:simplePos x="0" y="0"/>
                <wp:positionH relativeFrom="margin">
                  <wp:posOffset>-122085</wp:posOffset>
                </wp:positionH>
                <wp:positionV relativeFrom="paragraph">
                  <wp:posOffset>-270704</wp:posOffset>
                </wp:positionV>
                <wp:extent cx="1582237" cy="1101014"/>
                <wp:effectExtent l="0" t="0" r="0" b="4445"/>
                <wp:wrapNone/>
                <wp:docPr id="66" name="Imagen 6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82237" cy="1101014"/>
                        </a:xfrm>
                        <a:prstGeom prst="rect">
                          <a:avLst/>
                        </a:prstGeom>
                      </pic:spPr>
                    </pic:pic>
                  </a:graphicData>
                </a:graphic>
                <wp14:sizeRelH relativeFrom="page">
                  <wp14:pctWidth>0</wp14:pctWidth>
                </wp14:sizeRelH>
                <wp14:sizeRelV relativeFrom="page">
                  <wp14:pctHeight>0</wp14:pctHeight>
                </wp14:sizeRelV>
              </wp:anchor>
            </w:drawing>
          </w:r>
        </w:p>
      </w:tc>
      <w:tc>
        <w:tcPr>
          <w:tcW w:w="444" w:type="dxa"/>
          <w:tcBorders>
            <w:top w:val="nil"/>
            <w:left w:val="nil"/>
            <w:bottom w:val="nil"/>
            <w:right w:val="nil"/>
          </w:tcBorders>
        </w:tcPr>
        <w:p w14:paraId="3817E4C1" w14:textId="77777777" w:rsidR="00CE3201" w:rsidRPr="00CE3201" w:rsidRDefault="00CE3201" w:rsidP="00A71679">
          <w:pPr>
            <w:pStyle w:val="Encabezado"/>
            <w:jc w:val="center"/>
            <w:rPr>
              <w:b/>
              <w:bCs/>
              <w:color w:val="2F5496" w:themeColor="accent1" w:themeShade="BF"/>
            </w:rPr>
          </w:pPr>
        </w:p>
      </w:tc>
      <w:tc>
        <w:tcPr>
          <w:tcW w:w="4751" w:type="dxa"/>
          <w:tcBorders>
            <w:top w:val="nil"/>
            <w:left w:val="nil"/>
            <w:bottom w:val="single" w:sz="24" w:space="0" w:color="1F3864"/>
            <w:right w:val="nil"/>
          </w:tcBorders>
        </w:tcPr>
        <w:p w14:paraId="07AF801B" w14:textId="71327CB7" w:rsidR="00CE3201" w:rsidRPr="00CE3201" w:rsidRDefault="00CE3201" w:rsidP="00A71679">
          <w:pPr>
            <w:pStyle w:val="Encabezado"/>
            <w:jc w:val="center"/>
            <w:rPr>
              <w:b/>
              <w:bCs/>
              <w:color w:val="2F5496" w:themeColor="accent1" w:themeShade="BF"/>
            </w:rPr>
          </w:pPr>
        </w:p>
      </w:tc>
    </w:tr>
    <w:tr w:rsidR="00CE3201" w14:paraId="0A2C8051" w14:textId="77777777" w:rsidTr="00C175F6">
      <w:trPr>
        <w:trHeight w:val="351"/>
      </w:trPr>
      <w:tc>
        <w:tcPr>
          <w:tcW w:w="5195" w:type="dxa"/>
          <w:gridSpan w:val="2"/>
          <w:tcBorders>
            <w:top w:val="nil"/>
            <w:left w:val="nil"/>
            <w:bottom w:val="single" w:sz="24" w:space="0" w:color="1F3864" w:themeColor="accent1" w:themeShade="80"/>
            <w:right w:val="nil"/>
          </w:tcBorders>
        </w:tcPr>
        <w:p w14:paraId="68990A01" w14:textId="02B5AEAB" w:rsidR="00CE3201" w:rsidRPr="00CE3201" w:rsidRDefault="00CE3201" w:rsidP="00A71679">
          <w:pPr>
            <w:pStyle w:val="Encabezado"/>
            <w:jc w:val="center"/>
            <w:rPr>
              <w:b/>
              <w:bCs/>
              <w:color w:val="2F5496" w:themeColor="accent1" w:themeShade="BF"/>
            </w:rPr>
          </w:pPr>
        </w:p>
      </w:tc>
      <w:tc>
        <w:tcPr>
          <w:tcW w:w="2434" w:type="dxa"/>
          <w:vMerge/>
          <w:tcBorders>
            <w:top w:val="nil"/>
            <w:left w:val="nil"/>
            <w:bottom w:val="nil"/>
            <w:right w:val="nil"/>
          </w:tcBorders>
        </w:tcPr>
        <w:p w14:paraId="5221C352" w14:textId="5A2C6394" w:rsidR="00CE3201" w:rsidRPr="00CE3201" w:rsidRDefault="00CE3201" w:rsidP="00A71679">
          <w:pPr>
            <w:pStyle w:val="Encabezado"/>
            <w:jc w:val="center"/>
            <w:rPr>
              <w:b/>
              <w:bCs/>
              <w:color w:val="2F5496" w:themeColor="accent1" w:themeShade="BF"/>
            </w:rPr>
          </w:pPr>
        </w:p>
      </w:tc>
      <w:tc>
        <w:tcPr>
          <w:tcW w:w="5195" w:type="dxa"/>
          <w:gridSpan w:val="2"/>
          <w:tcBorders>
            <w:top w:val="nil"/>
            <w:left w:val="nil"/>
            <w:bottom w:val="single" w:sz="24" w:space="0" w:color="1F3864"/>
            <w:right w:val="nil"/>
          </w:tcBorders>
        </w:tcPr>
        <w:p w14:paraId="155C1F61" w14:textId="22B48742" w:rsidR="00CE3201" w:rsidRPr="00CE3201" w:rsidRDefault="00CE3201" w:rsidP="00A71679">
          <w:pPr>
            <w:pStyle w:val="Encabezado"/>
            <w:jc w:val="center"/>
            <w:rPr>
              <w:b/>
              <w:bCs/>
              <w:color w:val="2F5496" w:themeColor="accent1" w:themeShade="BF"/>
            </w:rPr>
          </w:pPr>
        </w:p>
      </w:tc>
    </w:tr>
  </w:tbl>
  <w:p w14:paraId="0B2C0F97" w14:textId="10601101" w:rsidR="007E09E3" w:rsidRDefault="007E09E3" w:rsidP="00A71679">
    <w:pPr>
      <w:pStyle w:val="Encabezado"/>
      <w:jc w:val="center"/>
    </w:pPr>
  </w:p>
  <w:p w14:paraId="345ED68B" w14:textId="09095ECF" w:rsidR="007E09E3" w:rsidRDefault="007E09E3" w:rsidP="00A71679">
    <w:pPr>
      <w:pStyle w:val="Encabezado"/>
      <w:jc w:val="center"/>
    </w:pPr>
  </w:p>
  <w:p w14:paraId="35595F4C" w14:textId="6D2D4EDF" w:rsidR="007E09E3" w:rsidRDefault="007E09E3" w:rsidP="00A7167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25DD6"/>
    <w:multiLevelType w:val="hybridMultilevel"/>
    <w:tmpl w:val="6FA8E5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6493C87"/>
    <w:multiLevelType w:val="hybridMultilevel"/>
    <w:tmpl w:val="1A7C6694"/>
    <w:lvl w:ilvl="0" w:tplc="97F2B00A">
      <w:numFmt w:val="bullet"/>
      <w:lvlText w:val="-"/>
      <w:lvlJc w:val="left"/>
      <w:pPr>
        <w:ind w:left="720" w:hanging="360"/>
      </w:pPr>
      <w:rPr>
        <w:rFonts w:ascii="Century Gothic" w:eastAsiaTheme="minorHAnsi" w:hAnsi="Century Gothic" w:cstheme="minorBidi" w:hint="default"/>
        <w:sz w:val="2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13216791">
    <w:abstractNumId w:val="1"/>
  </w:num>
  <w:num w:numId="2" w16cid:durableId="155681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79"/>
    <w:rsid w:val="00016196"/>
    <w:rsid w:val="00032374"/>
    <w:rsid w:val="00034082"/>
    <w:rsid w:val="000500AB"/>
    <w:rsid w:val="000506D7"/>
    <w:rsid w:val="0005692A"/>
    <w:rsid w:val="00065046"/>
    <w:rsid w:val="00066BFF"/>
    <w:rsid w:val="00083324"/>
    <w:rsid w:val="00091953"/>
    <w:rsid w:val="00095A71"/>
    <w:rsid w:val="000B6B43"/>
    <w:rsid w:val="000B7DF3"/>
    <w:rsid w:val="000C7884"/>
    <w:rsid w:val="000D0084"/>
    <w:rsid w:val="000D0FE8"/>
    <w:rsid w:val="000D69B4"/>
    <w:rsid w:val="000E64F5"/>
    <w:rsid w:val="001010D9"/>
    <w:rsid w:val="00103345"/>
    <w:rsid w:val="0010553B"/>
    <w:rsid w:val="001176EE"/>
    <w:rsid w:val="00121AD0"/>
    <w:rsid w:val="00126652"/>
    <w:rsid w:val="00135CDB"/>
    <w:rsid w:val="0013693F"/>
    <w:rsid w:val="00142A2F"/>
    <w:rsid w:val="0015652F"/>
    <w:rsid w:val="001635DB"/>
    <w:rsid w:val="0018128B"/>
    <w:rsid w:val="0018430D"/>
    <w:rsid w:val="00185778"/>
    <w:rsid w:val="0019698E"/>
    <w:rsid w:val="00197AC5"/>
    <w:rsid w:val="001A09E7"/>
    <w:rsid w:val="001A21F8"/>
    <w:rsid w:val="001A2D34"/>
    <w:rsid w:val="001C79F9"/>
    <w:rsid w:val="001D0611"/>
    <w:rsid w:val="001D08E9"/>
    <w:rsid w:val="001E108D"/>
    <w:rsid w:val="001E5BA3"/>
    <w:rsid w:val="001E7841"/>
    <w:rsid w:val="00206581"/>
    <w:rsid w:val="00221DFF"/>
    <w:rsid w:val="00225719"/>
    <w:rsid w:val="002354A5"/>
    <w:rsid w:val="00236E6D"/>
    <w:rsid w:val="00237E7A"/>
    <w:rsid w:val="0025073C"/>
    <w:rsid w:val="00263878"/>
    <w:rsid w:val="00266841"/>
    <w:rsid w:val="00275D6A"/>
    <w:rsid w:val="00277480"/>
    <w:rsid w:val="00284D49"/>
    <w:rsid w:val="00284ED2"/>
    <w:rsid w:val="002B157A"/>
    <w:rsid w:val="002B1ECA"/>
    <w:rsid w:val="002B33FE"/>
    <w:rsid w:val="002C4559"/>
    <w:rsid w:val="002C45D0"/>
    <w:rsid w:val="002D1572"/>
    <w:rsid w:val="002D5F75"/>
    <w:rsid w:val="002F03CC"/>
    <w:rsid w:val="002F2C0C"/>
    <w:rsid w:val="002F326E"/>
    <w:rsid w:val="00300981"/>
    <w:rsid w:val="003055AE"/>
    <w:rsid w:val="00305FAD"/>
    <w:rsid w:val="00307409"/>
    <w:rsid w:val="003152BC"/>
    <w:rsid w:val="00342855"/>
    <w:rsid w:val="00363089"/>
    <w:rsid w:val="00372494"/>
    <w:rsid w:val="0037351F"/>
    <w:rsid w:val="00374144"/>
    <w:rsid w:val="003810F5"/>
    <w:rsid w:val="00385137"/>
    <w:rsid w:val="00391E54"/>
    <w:rsid w:val="00393B4C"/>
    <w:rsid w:val="00397648"/>
    <w:rsid w:val="003A62AA"/>
    <w:rsid w:val="003B5BC5"/>
    <w:rsid w:val="003B6752"/>
    <w:rsid w:val="003C542B"/>
    <w:rsid w:val="003D0FE2"/>
    <w:rsid w:val="003D7E9B"/>
    <w:rsid w:val="003F5E7F"/>
    <w:rsid w:val="003F6109"/>
    <w:rsid w:val="003F72C6"/>
    <w:rsid w:val="0040146D"/>
    <w:rsid w:val="00404870"/>
    <w:rsid w:val="00405EDD"/>
    <w:rsid w:val="00420D5A"/>
    <w:rsid w:val="0042232A"/>
    <w:rsid w:val="00426F7B"/>
    <w:rsid w:val="00433A7A"/>
    <w:rsid w:val="00434742"/>
    <w:rsid w:val="00444CCB"/>
    <w:rsid w:val="004459F2"/>
    <w:rsid w:val="00450550"/>
    <w:rsid w:val="00452CE8"/>
    <w:rsid w:val="00455911"/>
    <w:rsid w:val="00473704"/>
    <w:rsid w:val="00477B57"/>
    <w:rsid w:val="00482B1A"/>
    <w:rsid w:val="004940B0"/>
    <w:rsid w:val="00494A53"/>
    <w:rsid w:val="004A0DA3"/>
    <w:rsid w:val="004B1697"/>
    <w:rsid w:val="004B53BE"/>
    <w:rsid w:val="004B7F00"/>
    <w:rsid w:val="004F00D3"/>
    <w:rsid w:val="004F5885"/>
    <w:rsid w:val="004F7397"/>
    <w:rsid w:val="00522A06"/>
    <w:rsid w:val="00542E10"/>
    <w:rsid w:val="0054313B"/>
    <w:rsid w:val="005464D3"/>
    <w:rsid w:val="005471A7"/>
    <w:rsid w:val="005509A5"/>
    <w:rsid w:val="00556B7B"/>
    <w:rsid w:val="00556DA9"/>
    <w:rsid w:val="00562ECC"/>
    <w:rsid w:val="005642B1"/>
    <w:rsid w:val="0057601E"/>
    <w:rsid w:val="005817E5"/>
    <w:rsid w:val="00584E63"/>
    <w:rsid w:val="00591F9B"/>
    <w:rsid w:val="00594500"/>
    <w:rsid w:val="005950BF"/>
    <w:rsid w:val="005A64AF"/>
    <w:rsid w:val="005A7E7F"/>
    <w:rsid w:val="005B3EF2"/>
    <w:rsid w:val="005B511C"/>
    <w:rsid w:val="005D5049"/>
    <w:rsid w:val="005D7C32"/>
    <w:rsid w:val="00603440"/>
    <w:rsid w:val="00604E1E"/>
    <w:rsid w:val="00604E62"/>
    <w:rsid w:val="006132F1"/>
    <w:rsid w:val="00613C15"/>
    <w:rsid w:val="00631392"/>
    <w:rsid w:val="00631752"/>
    <w:rsid w:val="0063596A"/>
    <w:rsid w:val="006474B7"/>
    <w:rsid w:val="00650C18"/>
    <w:rsid w:val="00652812"/>
    <w:rsid w:val="00654D29"/>
    <w:rsid w:val="006572EE"/>
    <w:rsid w:val="00657C8F"/>
    <w:rsid w:val="00670C9F"/>
    <w:rsid w:val="00677E14"/>
    <w:rsid w:val="00680FE3"/>
    <w:rsid w:val="00686C1F"/>
    <w:rsid w:val="00693F5E"/>
    <w:rsid w:val="006A3528"/>
    <w:rsid w:val="006A4CA6"/>
    <w:rsid w:val="006B1488"/>
    <w:rsid w:val="006C4F76"/>
    <w:rsid w:val="006D74A7"/>
    <w:rsid w:val="006E4446"/>
    <w:rsid w:val="006E4543"/>
    <w:rsid w:val="006F1306"/>
    <w:rsid w:val="006F23A8"/>
    <w:rsid w:val="006F5134"/>
    <w:rsid w:val="006F5257"/>
    <w:rsid w:val="0070112C"/>
    <w:rsid w:val="007018AA"/>
    <w:rsid w:val="00702DDE"/>
    <w:rsid w:val="007060DB"/>
    <w:rsid w:val="00706512"/>
    <w:rsid w:val="00720662"/>
    <w:rsid w:val="00735DE0"/>
    <w:rsid w:val="00736980"/>
    <w:rsid w:val="00741862"/>
    <w:rsid w:val="00746568"/>
    <w:rsid w:val="00750B2E"/>
    <w:rsid w:val="0076071F"/>
    <w:rsid w:val="00761859"/>
    <w:rsid w:val="007626BE"/>
    <w:rsid w:val="0077076B"/>
    <w:rsid w:val="007732A2"/>
    <w:rsid w:val="00782CC1"/>
    <w:rsid w:val="00787279"/>
    <w:rsid w:val="007913DF"/>
    <w:rsid w:val="00796C1F"/>
    <w:rsid w:val="00797428"/>
    <w:rsid w:val="007A4EC5"/>
    <w:rsid w:val="007B1E02"/>
    <w:rsid w:val="007B3980"/>
    <w:rsid w:val="007C027A"/>
    <w:rsid w:val="007C114E"/>
    <w:rsid w:val="007C59D5"/>
    <w:rsid w:val="007D52F3"/>
    <w:rsid w:val="007D66E4"/>
    <w:rsid w:val="007E09E3"/>
    <w:rsid w:val="007E4D23"/>
    <w:rsid w:val="007E6463"/>
    <w:rsid w:val="007F008F"/>
    <w:rsid w:val="007F1BB9"/>
    <w:rsid w:val="007F6E4A"/>
    <w:rsid w:val="0080174C"/>
    <w:rsid w:val="00803EE4"/>
    <w:rsid w:val="00804758"/>
    <w:rsid w:val="0080643C"/>
    <w:rsid w:val="00807624"/>
    <w:rsid w:val="0081180D"/>
    <w:rsid w:val="00811AD4"/>
    <w:rsid w:val="0081319F"/>
    <w:rsid w:val="0081740C"/>
    <w:rsid w:val="008260C4"/>
    <w:rsid w:val="00826357"/>
    <w:rsid w:val="008309EB"/>
    <w:rsid w:val="008518E2"/>
    <w:rsid w:val="00854C61"/>
    <w:rsid w:val="00854ED9"/>
    <w:rsid w:val="00856478"/>
    <w:rsid w:val="008667DB"/>
    <w:rsid w:val="00867452"/>
    <w:rsid w:val="008704D6"/>
    <w:rsid w:val="00891297"/>
    <w:rsid w:val="00891404"/>
    <w:rsid w:val="008943DC"/>
    <w:rsid w:val="008953BF"/>
    <w:rsid w:val="008C02B0"/>
    <w:rsid w:val="008E24FA"/>
    <w:rsid w:val="008E3BE7"/>
    <w:rsid w:val="008F17F9"/>
    <w:rsid w:val="0090786B"/>
    <w:rsid w:val="00921C20"/>
    <w:rsid w:val="00924DE9"/>
    <w:rsid w:val="00930A4D"/>
    <w:rsid w:val="0093569F"/>
    <w:rsid w:val="00942248"/>
    <w:rsid w:val="00945A23"/>
    <w:rsid w:val="0095531E"/>
    <w:rsid w:val="00955986"/>
    <w:rsid w:val="009715E6"/>
    <w:rsid w:val="00972D37"/>
    <w:rsid w:val="009879B2"/>
    <w:rsid w:val="00991593"/>
    <w:rsid w:val="00991E99"/>
    <w:rsid w:val="00996EE6"/>
    <w:rsid w:val="00997339"/>
    <w:rsid w:val="009A0BB7"/>
    <w:rsid w:val="009B0CC0"/>
    <w:rsid w:val="009B7A0B"/>
    <w:rsid w:val="009C1512"/>
    <w:rsid w:val="009C6708"/>
    <w:rsid w:val="009D040E"/>
    <w:rsid w:val="009D63AE"/>
    <w:rsid w:val="009E1643"/>
    <w:rsid w:val="009E66F4"/>
    <w:rsid w:val="009F0DA9"/>
    <w:rsid w:val="009F128F"/>
    <w:rsid w:val="009F1AA4"/>
    <w:rsid w:val="009F2091"/>
    <w:rsid w:val="00A25678"/>
    <w:rsid w:val="00A35526"/>
    <w:rsid w:val="00A43729"/>
    <w:rsid w:val="00A43D20"/>
    <w:rsid w:val="00A4751D"/>
    <w:rsid w:val="00A54AC8"/>
    <w:rsid w:val="00A64F84"/>
    <w:rsid w:val="00A71679"/>
    <w:rsid w:val="00A74278"/>
    <w:rsid w:val="00A84D3D"/>
    <w:rsid w:val="00A91AE3"/>
    <w:rsid w:val="00AA492A"/>
    <w:rsid w:val="00AA5C73"/>
    <w:rsid w:val="00AA61E5"/>
    <w:rsid w:val="00AB365F"/>
    <w:rsid w:val="00AC5FEB"/>
    <w:rsid w:val="00AD1D96"/>
    <w:rsid w:val="00AE7AA0"/>
    <w:rsid w:val="00AF23CD"/>
    <w:rsid w:val="00B00B88"/>
    <w:rsid w:val="00B03252"/>
    <w:rsid w:val="00B04545"/>
    <w:rsid w:val="00B05728"/>
    <w:rsid w:val="00B15264"/>
    <w:rsid w:val="00B152E0"/>
    <w:rsid w:val="00B21043"/>
    <w:rsid w:val="00B216E0"/>
    <w:rsid w:val="00B2404A"/>
    <w:rsid w:val="00B27533"/>
    <w:rsid w:val="00B30171"/>
    <w:rsid w:val="00B359E6"/>
    <w:rsid w:val="00B46B4B"/>
    <w:rsid w:val="00B50143"/>
    <w:rsid w:val="00B65595"/>
    <w:rsid w:val="00B667DC"/>
    <w:rsid w:val="00B7514A"/>
    <w:rsid w:val="00B833EB"/>
    <w:rsid w:val="00B8534F"/>
    <w:rsid w:val="00B96E7E"/>
    <w:rsid w:val="00BA3CA2"/>
    <w:rsid w:val="00BB60C9"/>
    <w:rsid w:val="00BC0608"/>
    <w:rsid w:val="00BC0D1E"/>
    <w:rsid w:val="00BC254B"/>
    <w:rsid w:val="00BC63E4"/>
    <w:rsid w:val="00C022E2"/>
    <w:rsid w:val="00C02CD2"/>
    <w:rsid w:val="00C0566D"/>
    <w:rsid w:val="00C056FF"/>
    <w:rsid w:val="00C0612F"/>
    <w:rsid w:val="00C07CA5"/>
    <w:rsid w:val="00C07DAA"/>
    <w:rsid w:val="00C109D2"/>
    <w:rsid w:val="00C15DE7"/>
    <w:rsid w:val="00C175F6"/>
    <w:rsid w:val="00C3202D"/>
    <w:rsid w:val="00C32428"/>
    <w:rsid w:val="00C325D0"/>
    <w:rsid w:val="00C366F6"/>
    <w:rsid w:val="00C44280"/>
    <w:rsid w:val="00C44377"/>
    <w:rsid w:val="00C44652"/>
    <w:rsid w:val="00C501BD"/>
    <w:rsid w:val="00C5525C"/>
    <w:rsid w:val="00C65FB6"/>
    <w:rsid w:val="00C73B01"/>
    <w:rsid w:val="00C759BE"/>
    <w:rsid w:val="00C75AD3"/>
    <w:rsid w:val="00C75B63"/>
    <w:rsid w:val="00C823BF"/>
    <w:rsid w:val="00C97E85"/>
    <w:rsid w:val="00CA06DD"/>
    <w:rsid w:val="00CA22F3"/>
    <w:rsid w:val="00CA423C"/>
    <w:rsid w:val="00CB57AB"/>
    <w:rsid w:val="00CB78D6"/>
    <w:rsid w:val="00CC1485"/>
    <w:rsid w:val="00CC2E21"/>
    <w:rsid w:val="00CD0655"/>
    <w:rsid w:val="00CD181A"/>
    <w:rsid w:val="00CD51BE"/>
    <w:rsid w:val="00CD66CF"/>
    <w:rsid w:val="00CD7CD1"/>
    <w:rsid w:val="00CE0326"/>
    <w:rsid w:val="00CE0D04"/>
    <w:rsid w:val="00CE3201"/>
    <w:rsid w:val="00CE4B75"/>
    <w:rsid w:val="00CF4815"/>
    <w:rsid w:val="00D12E91"/>
    <w:rsid w:val="00D1725E"/>
    <w:rsid w:val="00D20BEA"/>
    <w:rsid w:val="00D302F9"/>
    <w:rsid w:val="00D40A7D"/>
    <w:rsid w:val="00D71BF8"/>
    <w:rsid w:val="00D73BB2"/>
    <w:rsid w:val="00D87991"/>
    <w:rsid w:val="00D96C0E"/>
    <w:rsid w:val="00DA20EE"/>
    <w:rsid w:val="00DA618B"/>
    <w:rsid w:val="00DC3D39"/>
    <w:rsid w:val="00DD6D6E"/>
    <w:rsid w:val="00DD7AD0"/>
    <w:rsid w:val="00DE034A"/>
    <w:rsid w:val="00DF18F8"/>
    <w:rsid w:val="00DF32CB"/>
    <w:rsid w:val="00DF5966"/>
    <w:rsid w:val="00E049A7"/>
    <w:rsid w:val="00E1134B"/>
    <w:rsid w:val="00E1449C"/>
    <w:rsid w:val="00E27DF7"/>
    <w:rsid w:val="00E27EED"/>
    <w:rsid w:val="00E325AA"/>
    <w:rsid w:val="00E347C4"/>
    <w:rsid w:val="00E60CDD"/>
    <w:rsid w:val="00E65B9E"/>
    <w:rsid w:val="00E71425"/>
    <w:rsid w:val="00E82EB9"/>
    <w:rsid w:val="00E9254B"/>
    <w:rsid w:val="00E93487"/>
    <w:rsid w:val="00E97BF0"/>
    <w:rsid w:val="00EA15A3"/>
    <w:rsid w:val="00EA25FF"/>
    <w:rsid w:val="00EA76C8"/>
    <w:rsid w:val="00EB036B"/>
    <w:rsid w:val="00EB5E1C"/>
    <w:rsid w:val="00ED5D9C"/>
    <w:rsid w:val="00EE1E2F"/>
    <w:rsid w:val="00EE27CB"/>
    <w:rsid w:val="00EF5707"/>
    <w:rsid w:val="00EF7E70"/>
    <w:rsid w:val="00F00539"/>
    <w:rsid w:val="00F079EB"/>
    <w:rsid w:val="00F154B8"/>
    <w:rsid w:val="00F176FA"/>
    <w:rsid w:val="00F20C47"/>
    <w:rsid w:val="00F26664"/>
    <w:rsid w:val="00F32D2B"/>
    <w:rsid w:val="00F353EA"/>
    <w:rsid w:val="00F51133"/>
    <w:rsid w:val="00F535C4"/>
    <w:rsid w:val="00F55076"/>
    <w:rsid w:val="00F61210"/>
    <w:rsid w:val="00F61878"/>
    <w:rsid w:val="00F61EDF"/>
    <w:rsid w:val="00F624B9"/>
    <w:rsid w:val="00F65B47"/>
    <w:rsid w:val="00F822DC"/>
    <w:rsid w:val="00F90BDA"/>
    <w:rsid w:val="00F95486"/>
    <w:rsid w:val="00F95F30"/>
    <w:rsid w:val="00FA2DF0"/>
    <w:rsid w:val="00FA5598"/>
    <w:rsid w:val="00FB1F54"/>
    <w:rsid w:val="00FB33F3"/>
    <w:rsid w:val="00FC06B5"/>
    <w:rsid w:val="00FC4380"/>
    <w:rsid w:val="00FC4C41"/>
    <w:rsid w:val="00FD7311"/>
    <w:rsid w:val="00FD7E3D"/>
    <w:rsid w:val="00FE0EA6"/>
    <w:rsid w:val="00FE64EF"/>
    <w:rsid w:val="00FF2539"/>
    <w:rsid w:val="00FF27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65836"/>
  <w15:chartTrackingRefBased/>
  <w15:docId w15:val="{89CA4C51-9E23-4FB8-8717-C431295A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E3D"/>
    <w:pPr>
      <w:spacing w:after="200" w:line="276" w:lineRule="auto"/>
    </w:pPr>
  </w:style>
  <w:style w:type="paragraph" w:styleId="Ttulo1">
    <w:name w:val="heading 1"/>
    <w:basedOn w:val="Normal"/>
    <w:next w:val="Normal"/>
    <w:link w:val="Ttulo1Car"/>
    <w:uiPriority w:val="9"/>
    <w:qFormat/>
    <w:rsid w:val="004459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16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1679"/>
  </w:style>
  <w:style w:type="paragraph" w:styleId="Piedepgina">
    <w:name w:val="footer"/>
    <w:basedOn w:val="Normal"/>
    <w:link w:val="PiedepginaCar"/>
    <w:uiPriority w:val="99"/>
    <w:unhideWhenUsed/>
    <w:rsid w:val="00A716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1679"/>
  </w:style>
  <w:style w:type="paragraph" w:styleId="Prrafodelista">
    <w:name w:val="List Paragraph"/>
    <w:basedOn w:val="Normal"/>
    <w:uiPriority w:val="34"/>
    <w:qFormat/>
    <w:rsid w:val="00FD7E3D"/>
    <w:pPr>
      <w:spacing w:after="160" w:line="259" w:lineRule="auto"/>
      <w:ind w:left="720"/>
      <w:contextualSpacing/>
    </w:pPr>
  </w:style>
  <w:style w:type="paragraph" w:styleId="Textodeglobo">
    <w:name w:val="Balloon Text"/>
    <w:basedOn w:val="Normal"/>
    <w:link w:val="TextodegloboCar"/>
    <w:uiPriority w:val="99"/>
    <w:semiHidden/>
    <w:unhideWhenUsed/>
    <w:rsid w:val="008076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7624"/>
    <w:rPr>
      <w:rFonts w:ascii="Segoe UI" w:hAnsi="Segoe UI" w:cs="Segoe UI"/>
      <w:sz w:val="18"/>
      <w:szCs w:val="18"/>
    </w:rPr>
  </w:style>
  <w:style w:type="table" w:styleId="Tablaconcuadrcula">
    <w:name w:val="Table Grid"/>
    <w:basedOn w:val="Tablanormal"/>
    <w:uiPriority w:val="39"/>
    <w:rsid w:val="00CD0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A76C8"/>
    <w:rPr>
      <w:color w:val="0563C1" w:themeColor="hyperlink"/>
      <w:u w:val="single"/>
    </w:rPr>
  </w:style>
  <w:style w:type="paragraph" w:styleId="Textonotapie">
    <w:name w:val="footnote text"/>
    <w:basedOn w:val="Normal"/>
    <w:link w:val="TextonotapieCar"/>
    <w:uiPriority w:val="99"/>
    <w:semiHidden/>
    <w:unhideWhenUsed/>
    <w:rsid w:val="00142A2F"/>
    <w:pPr>
      <w:spacing w:after="0" w:line="240" w:lineRule="auto"/>
    </w:pPr>
    <w:rPr>
      <w:sz w:val="24"/>
      <w:szCs w:val="24"/>
    </w:rPr>
  </w:style>
  <w:style w:type="character" w:customStyle="1" w:styleId="TextonotapieCar">
    <w:name w:val="Texto nota pie Car"/>
    <w:basedOn w:val="Fuentedeprrafopredeter"/>
    <w:link w:val="Textonotapie"/>
    <w:uiPriority w:val="99"/>
    <w:semiHidden/>
    <w:rsid w:val="00142A2F"/>
    <w:rPr>
      <w:sz w:val="24"/>
      <w:szCs w:val="24"/>
    </w:rPr>
  </w:style>
  <w:style w:type="character" w:styleId="Hipervnculovisitado">
    <w:name w:val="FollowedHyperlink"/>
    <w:basedOn w:val="Fuentedeprrafopredeter"/>
    <w:uiPriority w:val="99"/>
    <w:semiHidden/>
    <w:unhideWhenUsed/>
    <w:rsid w:val="00305FAD"/>
    <w:rPr>
      <w:color w:val="954F72" w:themeColor="followedHyperlink"/>
      <w:u w:val="single"/>
    </w:rPr>
  </w:style>
  <w:style w:type="character" w:styleId="Mencinsinresolver">
    <w:name w:val="Unresolved Mention"/>
    <w:basedOn w:val="Fuentedeprrafopredeter"/>
    <w:uiPriority w:val="99"/>
    <w:semiHidden/>
    <w:unhideWhenUsed/>
    <w:rsid w:val="00B833EB"/>
    <w:rPr>
      <w:color w:val="605E5C"/>
      <w:shd w:val="clear" w:color="auto" w:fill="E1DFDD"/>
    </w:rPr>
  </w:style>
  <w:style w:type="character" w:customStyle="1" w:styleId="Ttulo1Car">
    <w:name w:val="Título 1 Car"/>
    <w:basedOn w:val="Fuentedeprrafopredeter"/>
    <w:link w:val="Ttulo1"/>
    <w:uiPriority w:val="9"/>
    <w:rsid w:val="004459F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hyperlink" Target="http://www.tjacoahuila.org" TargetMode="External"/><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10" Type="http://schemas.openxmlformats.org/officeDocument/2006/relationships/hyperlink" Target="mailto:tribunaldejusticiaadministrativa@tjacoahuila.org.mx" TargetMode="External"/><Relationship Id="rId4" Type="http://schemas.openxmlformats.org/officeDocument/2006/relationships/image" Target="media/image5.svg"/><Relationship Id="rId9" Type="http://schemas.openxmlformats.org/officeDocument/2006/relationships/image" Target="media/image9.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258</Words>
  <Characters>1423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GG</dc:creator>
  <cp:keywords/>
  <dc:description/>
  <cp:lastModifiedBy>Julio Alonso Martínez Cortés</cp:lastModifiedBy>
  <cp:revision>139</cp:revision>
  <cp:lastPrinted>2023-02-27T15:48:00Z</cp:lastPrinted>
  <dcterms:created xsi:type="dcterms:W3CDTF">2024-01-11T17:49:00Z</dcterms:created>
  <dcterms:modified xsi:type="dcterms:W3CDTF">2025-10-02T19:38:00Z</dcterms:modified>
</cp:coreProperties>
</file>