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F192" w14:textId="79713CFD" w:rsidR="00B948A0" w:rsidRPr="001B79FE" w:rsidRDefault="00B948A0" w:rsidP="00855A3C">
      <w:pPr>
        <w:spacing w:after="0" w:line="360" w:lineRule="auto"/>
        <w:jc w:val="center"/>
        <w:rPr>
          <w:rFonts w:ascii="Avenir Next LT Pro Light" w:hAnsi="Avenir Next LT Pro Light"/>
          <w:b/>
          <w:sz w:val="24"/>
          <w:szCs w:val="24"/>
        </w:rPr>
      </w:pPr>
      <w:r w:rsidRPr="001B79FE">
        <w:rPr>
          <w:rFonts w:ascii="Avenir Next LT Pro Light" w:hAnsi="Avenir Next LT Pro Light"/>
          <w:b/>
          <w:sz w:val="24"/>
          <w:szCs w:val="24"/>
        </w:rPr>
        <w:t xml:space="preserve">Artículo </w:t>
      </w:r>
      <w:r w:rsidR="00855A3C">
        <w:rPr>
          <w:rFonts w:ascii="Avenir Next LT Pro Light" w:hAnsi="Avenir Next LT Pro Light"/>
          <w:b/>
          <w:sz w:val="24"/>
          <w:szCs w:val="24"/>
        </w:rPr>
        <w:t>65</w:t>
      </w:r>
      <w:r w:rsidRPr="001B79FE">
        <w:rPr>
          <w:rFonts w:ascii="Avenir Next LT Pro Light" w:hAnsi="Avenir Next LT Pro Light"/>
          <w:b/>
          <w:sz w:val="24"/>
          <w:szCs w:val="24"/>
        </w:rPr>
        <w:t xml:space="preserve"> de la Ley </w:t>
      </w:r>
      <w:r w:rsidR="00855A3C">
        <w:rPr>
          <w:rFonts w:ascii="Avenir Next LT Pro Light" w:hAnsi="Avenir Next LT Pro Light"/>
          <w:b/>
          <w:sz w:val="24"/>
          <w:szCs w:val="24"/>
        </w:rPr>
        <w:t xml:space="preserve">General de </w:t>
      </w:r>
      <w:r w:rsidR="007B4680">
        <w:rPr>
          <w:rFonts w:ascii="Avenir Next LT Pro Light" w:hAnsi="Avenir Next LT Pro Light"/>
          <w:b/>
          <w:sz w:val="24"/>
          <w:szCs w:val="24"/>
        </w:rPr>
        <w:t xml:space="preserve">Transparencia y </w:t>
      </w:r>
      <w:r w:rsidR="00855A3C">
        <w:rPr>
          <w:rFonts w:ascii="Avenir Next LT Pro Light" w:hAnsi="Avenir Next LT Pro Light"/>
          <w:b/>
          <w:sz w:val="24"/>
          <w:szCs w:val="24"/>
        </w:rPr>
        <w:t xml:space="preserve">Acceso </w:t>
      </w:r>
      <w:r w:rsidR="007B4680">
        <w:rPr>
          <w:rFonts w:ascii="Avenir Next LT Pro Light" w:hAnsi="Avenir Next LT Pro Light"/>
          <w:b/>
          <w:sz w:val="24"/>
          <w:szCs w:val="24"/>
        </w:rPr>
        <w:t>a la Información Pública</w:t>
      </w:r>
    </w:p>
    <w:p w14:paraId="17EF57FE" w14:textId="77777777" w:rsidR="00B948A0" w:rsidRPr="001B79FE" w:rsidRDefault="00B948A0" w:rsidP="00B948A0">
      <w:pPr>
        <w:spacing w:after="0" w:line="360" w:lineRule="auto"/>
        <w:jc w:val="center"/>
        <w:rPr>
          <w:rFonts w:ascii="Avenir Next LT Pro Light" w:hAnsi="Avenir Next LT Pro Light"/>
          <w:sz w:val="24"/>
          <w:szCs w:val="24"/>
        </w:rPr>
      </w:pPr>
    </w:p>
    <w:p w14:paraId="6BCCC7C4" w14:textId="622F4D62" w:rsidR="00B948A0" w:rsidRPr="001B79FE" w:rsidRDefault="00B948A0" w:rsidP="00B948A0">
      <w:pPr>
        <w:spacing w:after="0" w:line="360" w:lineRule="auto"/>
        <w:jc w:val="both"/>
        <w:rPr>
          <w:rFonts w:ascii="Avenir Next LT Pro Light" w:hAnsi="Avenir Next LT Pro Light"/>
          <w:sz w:val="24"/>
          <w:szCs w:val="24"/>
        </w:rPr>
      </w:pPr>
      <w:r w:rsidRPr="001B79FE">
        <w:rPr>
          <w:rFonts w:ascii="Avenir Next LT Pro Light" w:hAnsi="Avenir Next LT Pro Light"/>
          <w:b/>
          <w:sz w:val="24"/>
          <w:szCs w:val="24"/>
        </w:rPr>
        <w:t>Fracción X</w:t>
      </w:r>
      <w:r w:rsidR="00353239">
        <w:rPr>
          <w:rFonts w:ascii="Avenir Next LT Pro Light" w:hAnsi="Avenir Next LT Pro Light"/>
          <w:b/>
          <w:sz w:val="24"/>
          <w:szCs w:val="24"/>
        </w:rPr>
        <w:t>VI</w:t>
      </w:r>
      <w:r w:rsidRPr="001B79FE">
        <w:rPr>
          <w:rFonts w:ascii="Avenir Next LT Pro Light" w:hAnsi="Avenir Next LT Pro Light"/>
          <w:b/>
          <w:sz w:val="24"/>
          <w:szCs w:val="24"/>
        </w:rPr>
        <w:t>II.-</w:t>
      </w:r>
      <w:r w:rsidRPr="001B79FE">
        <w:rPr>
          <w:rFonts w:ascii="Avenir Next LT Pro Light" w:hAnsi="Avenir Next LT Pro Light"/>
          <w:sz w:val="24"/>
          <w:szCs w:val="24"/>
        </w:rPr>
        <w:t xml:space="preserve"> Un listado con los servicios que ofrece, que incluya los trámites, tiempos de respuesta, requisitos, objetivo y formatos para acceder a ellos, así como información sobre la población o sector a quien vayan dirigidos;</w:t>
      </w:r>
    </w:p>
    <w:p w14:paraId="3B652416" w14:textId="77777777" w:rsidR="00B948A0" w:rsidRPr="001B79FE" w:rsidRDefault="00B948A0" w:rsidP="00B948A0">
      <w:pPr>
        <w:spacing w:after="0" w:line="360" w:lineRule="auto"/>
        <w:jc w:val="both"/>
        <w:rPr>
          <w:rFonts w:ascii="Avenir Next LT Pro Light" w:hAnsi="Avenir Next LT Pro Light"/>
          <w:sz w:val="24"/>
          <w:szCs w:val="24"/>
        </w:rPr>
      </w:pPr>
    </w:p>
    <w:p w14:paraId="2A189A5F" w14:textId="77777777" w:rsidR="00B948A0" w:rsidRPr="001B79FE" w:rsidRDefault="00B948A0" w:rsidP="00B948A0">
      <w:pPr>
        <w:spacing w:after="0" w:line="360" w:lineRule="auto"/>
        <w:jc w:val="center"/>
        <w:rPr>
          <w:rFonts w:ascii="Avenir Next LT Pro Light" w:hAnsi="Avenir Next LT Pro Light"/>
          <w:b/>
          <w:sz w:val="24"/>
          <w:szCs w:val="24"/>
        </w:rPr>
      </w:pPr>
      <w:r w:rsidRPr="001B79FE">
        <w:rPr>
          <w:rFonts w:ascii="Avenir Next LT Pro Light" w:hAnsi="Avenir Next LT Pro Light"/>
          <w:b/>
          <w:sz w:val="24"/>
          <w:szCs w:val="24"/>
        </w:rPr>
        <w:t>Servicios</w:t>
      </w:r>
    </w:p>
    <w:p w14:paraId="0CE70535" w14:textId="77777777" w:rsidR="00B948A0" w:rsidRPr="001B79FE" w:rsidRDefault="00B948A0" w:rsidP="00B948A0">
      <w:pPr>
        <w:spacing w:after="0" w:line="240" w:lineRule="auto"/>
        <w:jc w:val="center"/>
        <w:rPr>
          <w:rFonts w:ascii="Avenir Next LT Pro Light" w:hAnsi="Avenir Next LT Pro Light"/>
          <w:b/>
          <w:sz w:val="24"/>
          <w:szCs w:val="24"/>
        </w:rPr>
      </w:pPr>
    </w:p>
    <w:p w14:paraId="15BF7BCD" w14:textId="77777777" w:rsidR="00B948A0" w:rsidRPr="001B79FE" w:rsidRDefault="00B948A0" w:rsidP="00B948A0">
      <w:pPr>
        <w:spacing w:after="0" w:line="360" w:lineRule="auto"/>
        <w:jc w:val="both"/>
        <w:rPr>
          <w:rFonts w:ascii="Avenir Next LT Pro Light" w:hAnsi="Avenir Next LT Pro Light"/>
          <w:sz w:val="24"/>
          <w:szCs w:val="24"/>
        </w:rPr>
      </w:pPr>
      <w:r w:rsidRPr="001B79FE">
        <w:rPr>
          <w:rFonts w:ascii="Avenir Next LT Pro Light" w:hAnsi="Avenir Next LT Pro Light"/>
          <w:sz w:val="24"/>
          <w:szCs w:val="24"/>
        </w:rPr>
        <w:t>Se le informa que el Tribunal de Justicia Administrativa de Coahuila de Zaragoza, según lo establecido en el artículo 168-A de la Constitución Política del Estado de Coahuila de Zaragoza es el órgano competente para resolver las controversias que se susciten entre la administración pública del Estado y los municipios y los particulares; imponer sanciones a los servidores públicos por las responsabilidades administrativas que la ley determine como graves y a los particulares que participen en actos vinculados con dichas responsabilidades; y fincar el pago de indemnizaciones y sanciones pecuniarias derivadas de los daños y perjuicios a la hacienda pública del estado o de los municipios, o al patrimonio de los entes públicos estatales y municipales.</w:t>
      </w:r>
    </w:p>
    <w:p w14:paraId="6DFD2E21" w14:textId="77777777" w:rsidR="00B948A0" w:rsidRPr="001B79FE" w:rsidRDefault="00B948A0" w:rsidP="00B948A0">
      <w:pPr>
        <w:spacing w:after="0" w:line="240" w:lineRule="auto"/>
        <w:jc w:val="both"/>
        <w:rPr>
          <w:rFonts w:ascii="Avenir Next LT Pro Light" w:hAnsi="Avenir Next LT Pro Light"/>
          <w:sz w:val="24"/>
          <w:szCs w:val="24"/>
        </w:rPr>
      </w:pPr>
    </w:p>
    <w:p w14:paraId="24DF8CD8" w14:textId="77777777" w:rsidR="00B948A0" w:rsidRPr="001B79FE" w:rsidRDefault="00B948A0" w:rsidP="00B948A0">
      <w:pPr>
        <w:spacing w:after="0" w:line="360" w:lineRule="auto"/>
        <w:jc w:val="both"/>
        <w:rPr>
          <w:rFonts w:ascii="Avenir Next LT Pro Light" w:hAnsi="Avenir Next LT Pro Light"/>
          <w:sz w:val="24"/>
          <w:szCs w:val="24"/>
        </w:rPr>
      </w:pPr>
      <w:r w:rsidRPr="001B79FE">
        <w:rPr>
          <w:rFonts w:ascii="Avenir Next LT Pro Light" w:hAnsi="Avenir Next LT Pro Light"/>
          <w:sz w:val="24"/>
          <w:szCs w:val="24"/>
        </w:rPr>
        <w:t>Según los artículos 3 y 4 de la Ley Orgánica del Tribunal de Justicia Administrativa de Coahuila de Zaragoza corresponde al Tribunal de Justicia Administrativa de Coahuila de Zaragoza, conocer y resolver lo siguiente:</w:t>
      </w:r>
    </w:p>
    <w:p w14:paraId="2F2B00D4" w14:textId="77777777" w:rsidR="00B948A0" w:rsidRPr="001B79FE" w:rsidRDefault="00B948A0" w:rsidP="00B948A0">
      <w:pPr>
        <w:spacing w:after="0" w:line="360" w:lineRule="auto"/>
        <w:jc w:val="both"/>
        <w:rPr>
          <w:rFonts w:ascii="Avenir Next LT Pro Light" w:hAnsi="Avenir Next LT Pro Light" w:cs="Arial"/>
          <w:sz w:val="24"/>
          <w:szCs w:val="24"/>
          <w:lang w:val="es-ES"/>
        </w:rPr>
      </w:pPr>
    </w:p>
    <w:p w14:paraId="5F134654" w14:textId="7ED0DD16"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Los decretos y acuerdos de carácter general diversos a los reglamentos, cuando sean autoaplicativos o cuando el interesado los controvierta con motivo de su primer acto de aplicación;</w:t>
      </w:r>
    </w:p>
    <w:p w14:paraId="55B0F041" w14:textId="0395F9ED"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 xml:space="preserve">Las dictadas por autoridades fiscales estatales y organismos fiscales autónomos </w:t>
      </w:r>
      <w:r w:rsidRPr="001B79FE">
        <w:rPr>
          <w:rFonts w:ascii="Avenir Next LT Pro Light" w:hAnsi="Avenir Next LT Pro Light" w:cs="Arial"/>
          <w:sz w:val="24"/>
          <w:szCs w:val="24"/>
        </w:rPr>
        <w:t xml:space="preserve">estatales </w:t>
      </w:r>
      <w:r w:rsidRPr="001B79FE">
        <w:rPr>
          <w:rFonts w:ascii="Avenir Next LT Pro Light" w:hAnsi="Avenir Next LT Pro Light" w:cs="Arial"/>
          <w:sz w:val="24"/>
          <w:szCs w:val="24"/>
          <w:lang w:val="es-ES"/>
        </w:rPr>
        <w:t xml:space="preserve">y municipales en que se determine la existencia de </w:t>
      </w:r>
      <w:r w:rsidRPr="001B79FE">
        <w:rPr>
          <w:rFonts w:ascii="Avenir Next LT Pro Light" w:hAnsi="Avenir Next LT Pro Light" w:cs="Arial"/>
          <w:sz w:val="24"/>
          <w:szCs w:val="24"/>
          <w:lang w:val="es-ES"/>
        </w:rPr>
        <w:lastRenderedPageBreak/>
        <w:t>una obligación fiscal, se fije en cantidad líquida o se den las bases para su liquidación;</w:t>
      </w:r>
    </w:p>
    <w:p w14:paraId="47801744" w14:textId="6E724387"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Las que nieguen la devolución de un ingreso de los regulados por el Código Fiscal para el Estado de Coahuila de Zaragoza, indebidamente percibido por el Estado o cuya devolución proceda de conformidad con las leyes fiscales;</w:t>
      </w:r>
    </w:p>
    <w:p w14:paraId="1809653F" w14:textId="77777777"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Las que impongan multas por infracción a las normas administrativas estatales y municipales;</w:t>
      </w:r>
    </w:p>
    <w:p w14:paraId="65C83E72" w14:textId="3EAC3C2A"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Las que causen un agravio en materia fiscal distinto al que se refieren las fracciones anteriores;</w:t>
      </w:r>
    </w:p>
    <w:p w14:paraId="6C37C4B3" w14:textId="61872EDD"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Las que se dicten en materia de pensiones, sea con cargo al erario estatal o al Instituto de Pensiones para los Trabajadores al Servicio del Estado de Coahuila de Zaragoza, la Dirección de Pensiones para los Trabajadores de la Educación o los organismos públicos descentralizados para la administración de las pensiones de los servidores públicos municipales o a la Dirección de Pensiones para los Trabajadores de la Educación;</w:t>
      </w:r>
    </w:p>
    <w:p w14:paraId="4022E25A" w14:textId="5966EEC6"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Las que se originen por fallos en licitaciones públicas y la interpretación y cumplimiento de contratos públicos, de obra pública, de adquisiciones, de arrendamientos y de servicios celebrados por las dependencias y entidades de la administración pública estatal o municipal, ya sea centralizada, paraestatal y paramunicipal, así como las que estén bajo responsabilidad de los entes públicos estatales y municipales;</w:t>
      </w:r>
    </w:p>
    <w:p w14:paraId="170D256F" w14:textId="6122E42F"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 xml:space="preserve">Las que nieguen la indemnización por responsabilidad patrimonial del Estado, declaren improcedente su reclamación o cuando habiéndola otorgado no satisfaga al reclamante. También, las </w:t>
      </w:r>
      <w:proofErr w:type="gramStart"/>
      <w:r w:rsidRPr="001B79FE">
        <w:rPr>
          <w:rFonts w:ascii="Avenir Next LT Pro Light" w:hAnsi="Avenir Next LT Pro Light" w:cs="Arial"/>
          <w:sz w:val="24"/>
          <w:szCs w:val="24"/>
          <w:lang w:val="es-ES"/>
        </w:rPr>
        <w:t>que</w:t>
      </w:r>
      <w:proofErr w:type="gramEnd"/>
      <w:r w:rsidRPr="001B79FE">
        <w:rPr>
          <w:rFonts w:ascii="Avenir Next LT Pro Light" w:hAnsi="Avenir Next LT Pro Light" w:cs="Arial"/>
          <w:sz w:val="24"/>
          <w:szCs w:val="24"/>
          <w:lang w:val="es-ES"/>
        </w:rPr>
        <w:t xml:space="preserve"> por repetición, impongan la obligación a los servidores públicos de resarcir al Estado el </w:t>
      </w:r>
      <w:r w:rsidRPr="001B79FE">
        <w:rPr>
          <w:rFonts w:ascii="Avenir Next LT Pro Light" w:hAnsi="Avenir Next LT Pro Light" w:cs="Arial"/>
          <w:sz w:val="24"/>
          <w:szCs w:val="24"/>
          <w:lang w:val="es-ES"/>
        </w:rPr>
        <w:lastRenderedPageBreak/>
        <w:t>pago correspondiente a la indemnización, en los términos de la ley de la materia;</w:t>
      </w:r>
    </w:p>
    <w:p w14:paraId="3BDD2C90" w14:textId="348D76A9"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Las que requieran el pago de garantías a favor del Estado o de sus municipios, así como de sus entidades paraestatales o paramunicipales;</w:t>
      </w:r>
    </w:p>
    <w:p w14:paraId="2FD5B9CF" w14:textId="2B82EC23"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 xml:space="preserve">Las dictadas por las autoridades administrativas que pongan fin a un procedimiento administrativo, a una instancia o resuelvan un expediente, en los términos de las leyes aplicables; </w:t>
      </w:r>
    </w:p>
    <w:p w14:paraId="5A1FF076" w14:textId="52689D64"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Las que resuelvan los recursos administrativos en contra de las resoluciones que se indican en las demás fracciones de este artículo;</w:t>
      </w:r>
    </w:p>
    <w:p w14:paraId="67D7A536" w14:textId="3B93E974"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Las que se configuren por negativa ficta en las materias señaladas en este artículo, por el transcurso del plazo que señalen el Código Fiscal para el Estado de Coahuila de Zaragoza,</w:t>
      </w:r>
      <w:r w:rsidRPr="001B79FE">
        <w:rPr>
          <w:rFonts w:ascii="Avenir Next LT Pro Light" w:hAnsi="Avenir Next LT Pro Light" w:cs="Arial"/>
          <w:b/>
          <w:sz w:val="24"/>
          <w:szCs w:val="24"/>
          <w:lang w:val="es-ES"/>
        </w:rPr>
        <w:t xml:space="preserve"> </w:t>
      </w:r>
      <w:r w:rsidRPr="001B79FE">
        <w:rPr>
          <w:rFonts w:ascii="Avenir Next LT Pro Light" w:hAnsi="Avenir Next LT Pro Light" w:cs="Arial"/>
          <w:sz w:val="24"/>
          <w:szCs w:val="24"/>
          <w:lang w:val="es-ES"/>
        </w:rPr>
        <w:t>la Ley de Procedimiento Administrativo del Estado de Coahuila de Zaragoza,</w:t>
      </w:r>
      <w:r w:rsidRPr="001B79FE">
        <w:rPr>
          <w:rFonts w:ascii="Avenir Next LT Pro Light" w:hAnsi="Avenir Next LT Pro Light" w:cs="Arial"/>
          <w:b/>
          <w:sz w:val="24"/>
          <w:szCs w:val="24"/>
          <w:lang w:val="es-ES"/>
        </w:rPr>
        <w:t xml:space="preserve"> </w:t>
      </w:r>
      <w:r w:rsidRPr="001B79FE">
        <w:rPr>
          <w:rFonts w:ascii="Avenir Next LT Pro Light" w:hAnsi="Avenir Next LT Pro Light" w:cs="Arial"/>
          <w:sz w:val="24"/>
          <w:szCs w:val="24"/>
          <w:lang w:val="es-ES"/>
        </w:rPr>
        <w:t>y demás disposiciones aplicables, así como las que nieguen la expedición de la constancia de haberse configurado la resolución positiva ficta, cuando ésta se encuentre prevista por la ley que rija a dichas materias.</w:t>
      </w:r>
    </w:p>
    <w:p w14:paraId="6ADCF7E8" w14:textId="346FCE19" w:rsidR="00B948A0" w:rsidRPr="001B79FE" w:rsidRDefault="00B948A0" w:rsidP="00B948A0">
      <w:pPr>
        <w:spacing w:after="0" w:line="360" w:lineRule="auto"/>
        <w:ind w:left="851"/>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No será aplicable lo dispuesto en el párrafo anterior en todos aquellos casos en los que se pudiere afectar el derecho de un tercero, reconocido en un registro o anotación ante autoridad administrativa;</w:t>
      </w:r>
    </w:p>
    <w:p w14:paraId="65030E73" w14:textId="6F85C9D5"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 xml:space="preserve">Las resoluciones definitivas por las que se impongan sanciones administrativas a los servidores públicos estatales, municipales y de los organismos públicos autónomos, en términos de la legislación aplicable, así como contra las que decidan los recursos administrativos previstos en dichos ordenamientos; </w:t>
      </w:r>
    </w:p>
    <w:p w14:paraId="6F22BB9C" w14:textId="03226D0E"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Las resoluciones de la Contraloría Interna del Instituto Electoral de Coahuila que impongan sanciones por faltas administrativas no graves, en términos de las disposiciones aplicables;</w:t>
      </w:r>
    </w:p>
    <w:p w14:paraId="48AB798A" w14:textId="431232A3" w:rsidR="00B948A0" w:rsidRPr="001B79FE" w:rsidRDefault="00B948A0" w:rsidP="00B948A0">
      <w:pPr>
        <w:numPr>
          <w:ilvl w:val="0"/>
          <w:numId w:val="3"/>
        </w:numPr>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lastRenderedPageBreak/>
        <w:t>Las sanciones y demás resoluciones emitidas por la Auditoría Superior del Estado, en términos de la Ley General de Responsabilidades Administrativas y la Ley de Rendición de Cuentas y Fiscalización Superior del Estado de Coahuila de Zaragoza;</w:t>
      </w:r>
    </w:p>
    <w:p w14:paraId="756278B3" w14:textId="77777777" w:rsidR="00B948A0" w:rsidRPr="001B79FE" w:rsidRDefault="00B948A0" w:rsidP="00B948A0">
      <w:pPr>
        <w:numPr>
          <w:ilvl w:val="0"/>
          <w:numId w:val="3"/>
        </w:numPr>
        <w:tabs>
          <w:tab w:val="left" w:pos="851"/>
        </w:tabs>
        <w:spacing w:after="0" w:line="360" w:lineRule="auto"/>
        <w:ind w:left="851" w:hanging="425"/>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Las señaladas en esta y otras leyes como competencia del Tribunal.</w:t>
      </w:r>
    </w:p>
    <w:p w14:paraId="5DBD5580" w14:textId="77777777" w:rsidR="00B948A0" w:rsidRPr="001B79FE" w:rsidRDefault="00B948A0" w:rsidP="00B948A0">
      <w:pPr>
        <w:spacing w:after="0" w:line="360" w:lineRule="auto"/>
        <w:ind w:left="709" w:hanging="425"/>
        <w:jc w:val="both"/>
        <w:rPr>
          <w:rFonts w:ascii="Avenir Next LT Pro Light" w:hAnsi="Avenir Next LT Pro Light" w:cs="Arial"/>
          <w:sz w:val="24"/>
          <w:szCs w:val="24"/>
          <w:lang w:val="es-ES"/>
        </w:rPr>
      </w:pPr>
    </w:p>
    <w:p w14:paraId="4385EDAF" w14:textId="77777777" w:rsidR="00B948A0" w:rsidRPr="001B79FE" w:rsidRDefault="00B948A0" w:rsidP="00B948A0">
      <w:pPr>
        <w:spacing w:after="0" w:line="360" w:lineRule="auto"/>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Para los efectos del primer párrafo de este artículo, las resoluciones se considerarán definitivas cuando no admitan recurso administrativo o cuando la interposición de éste sea optativa.</w:t>
      </w:r>
    </w:p>
    <w:p w14:paraId="03FC38C8" w14:textId="77777777" w:rsidR="00B948A0" w:rsidRPr="001B79FE" w:rsidRDefault="00B948A0" w:rsidP="00B948A0">
      <w:pPr>
        <w:spacing w:after="0" w:line="360" w:lineRule="auto"/>
        <w:jc w:val="both"/>
        <w:rPr>
          <w:rFonts w:ascii="Avenir Next LT Pro Light" w:hAnsi="Avenir Next LT Pro Light" w:cs="Arial"/>
          <w:sz w:val="24"/>
          <w:szCs w:val="24"/>
          <w:lang w:val="es-ES"/>
        </w:rPr>
      </w:pPr>
      <w:r w:rsidRPr="001B79FE">
        <w:rPr>
          <w:rFonts w:ascii="Avenir Next LT Pro Light" w:hAnsi="Avenir Next LT Pro Light" w:cs="Arial"/>
          <w:sz w:val="24"/>
          <w:szCs w:val="24"/>
          <w:lang w:val="es-ES"/>
        </w:rPr>
        <w:t>El Tribunal conocerá también de los juicios que promuevan las autoridades para que sean anuladas las resoluciones administrativas favorables a un particular, cuando se consideren contrarias a la ley.</w:t>
      </w:r>
    </w:p>
    <w:p w14:paraId="0B402D31" w14:textId="77777777" w:rsidR="00B948A0" w:rsidRPr="001B79FE" w:rsidRDefault="00B948A0" w:rsidP="00B948A0">
      <w:pPr>
        <w:spacing w:after="0" w:line="360" w:lineRule="auto"/>
        <w:jc w:val="both"/>
        <w:rPr>
          <w:rFonts w:ascii="Avenir Next LT Pro Light" w:hAnsi="Avenir Next LT Pro Light" w:cs="Arial"/>
          <w:b/>
          <w:sz w:val="24"/>
          <w:szCs w:val="24"/>
          <w:lang w:val="es-ES"/>
        </w:rPr>
      </w:pPr>
    </w:p>
    <w:p w14:paraId="6C15EE0F" w14:textId="77777777" w:rsidR="00B948A0" w:rsidRPr="001B79FE" w:rsidRDefault="00B948A0" w:rsidP="00B948A0">
      <w:pPr>
        <w:spacing w:after="0" w:line="360" w:lineRule="auto"/>
        <w:jc w:val="both"/>
        <w:rPr>
          <w:rFonts w:ascii="Avenir Next LT Pro Light" w:hAnsi="Avenir Next LT Pro Light" w:cs="Arial"/>
          <w:sz w:val="24"/>
          <w:szCs w:val="24"/>
          <w:lang w:val="es-ES"/>
        </w:rPr>
      </w:pPr>
      <w:r w:rsidRPr="001B79FE">
        <w:rPr>
          <w:rFonts w:ascii="Avenir Next LT Pro Light" w:hAnsi="Avenir Next LT Pro Light" w:cs="Arial"/>
          <w:b/>
          <w:sz w:val="24"/>
          <w:szCs w:val="24"/>
          <w:lang w:val="es-ES"/>
        </w:rPr>
        <w:t xml:space="preserve">Artículo 4. </w:t>
      </w:r>
      <w:r w:rsidRPr="001B79FE">
        <w:rPr>
          <w:rFonts w:ascii="Avenir Next LT Pro Light" w:hAnsi="Avenir Next LT Pro Light" w:cs="Arial"/>
          <w:sz w:val="24"/>
          <w:szCs w:val="24"/>
          <w:lang w:val="es-ES"/>
        </w:rPr>
        <w:t xml:space="preserve">El Tribunal conocerá de las responsabilidades administrativas de los servidores públicos y particulares vinculados con faltas graves promovidas por la Secretaría de Fiscalización y Rendición de Cuentas, los órganos internos de control de los entes públicos estatales, municipales y de los organismos públicos autónomos, o por la Auditoría Superior del Estado, para la imposición de sanciones en términos de lo dispuesto por la </w:t>
      </w:r>
      <w:r w:rsidRPr="001B79FE">
        <w:rPr>
          <w:rFonts w:ascii="Avenir Next LT Pro Light" w:hAnsi="Avenir Next LT Pro Light" w:cs="Arial"/>
          <w:sz w:val="24"/>
          <w:szCs w:val="24"/>
        </w:rPr>
        <w:t>Ley General de Responsabilidades Administrativas</w:t>
      </w:r>
      <w:r w:rsidRPr="001B79FE">
        <w:rPr>
          <w:rFonts w:ascii="Avenir Next LT Pro Light" w:hAnsi="Avenir Next LT Pro Light" w:cs="Arial"/>
          <w:sz w:val="24"/>
          <w:szCs w:val="24"/>
          <w:lang w:val="es-ES"/>
        </w:rPr>
        <w:t>. Asimismo, será competente para fincar a los responsables el pago de las indemnizaciones y sanciones pecuniarias que deriven de los daños y perjuicios que afecten a la hacienda pública estatal o municipal, o al patrimonio de los entes públicos estatales o municipales, así como de los organismos públicos autónomos.</w:t>
      </w:r>
    </w:p>
    <w:p w14:paraId="205A9B47" w14:textId="77777777" w:rsidR="00B948A0" w:rsidRPr="001B79FE" w:rsidRDefault="00B948A0" w:rsidP="00B948A0">
      <w:pPr>
        <w:spacing w:after="0" w:line="360" w:lineRule="auto"/>
        <w:jc w:val="both"/>
        <w:rPr>
          <w:rFonts w:ascii="Avenir Next LT Pro Light" w:hAnsi="Avenir Next LT Pro Light" w:cs="Arial"/>
          <w:sz w:val="24"/>
          <w:szCs w:val="24"/>
          <w:lang w:val="es-ES"/>
        </w:rPr>
      </w:pPr>
      <w:proofErr w:type="gramStart"/>
      <w:r w:rsidRPr="001B79FE">
        <w:rPr>
          <w:rFonts w:ascii="Avenir Next LT Pro Light" w:hAnsi="Avenir Next LT Pro Light" w:cs="Arial"/>
          <w:sz w:val="24"/>
          <w:szCs w:val="24"/>
          <w:lang w:val="es-ES"/>
        </w:rPr>
        <w:t>Bajo ninguna circunstancia</w:t>
      </w:r>
      <w:proofErr w:type="gramEnd"/>
      <w:r w:rsidRPr="001B79FE">
        <w:rPr>
          <w:rFonts w:ascii="Avenir Next LT Pro Light" w:hAnsi="Avenir Next LT Pro Light" w:cs="Arial"/>
          <w:sz w:val="24"/>
          <w:szCs w:val="24"/>
          <w:lang w:val="es-ES"/>
        </w:rPr>
        <w:t xml:space="preserve"> se entenderá que la atribución del Tribunal para imponer sanciones a particulares por actos u omisiones vinculadas con faltas administrativas graves se contrapone o menoscaba la facultad que cualquier ente </w:t>
      </w:r>
      <w:r w:rsidRPr="001B79FE">
        <w:rPr>
          <w:rFonts w:ascii="Avenir Next LT Pro Light" w:hAnsi="Avenir Next LT Pro Light" w:cs="Arial"/>
          <w:sz w:val="24"/>
          <w:szCs w:val="24"/>
          <w:lang w:val="es-ES"/>
        </w:rPr>
        <w:lastRenderedPageBreak/>
        <w:t>público posea para imponer sanciones a particulares en los términos de la legislación aplicable.</w:t>
      </w:r>
    </w:p>
    <w:p w14:paraId="47DA6261" w14:textId="77777777" w:rsidR="00B948A0" w:rsidRPr="001B79FE" w:rsidRDefault="00B948A0" w:rsidP="00B948A0">
      <w:pPr>
        <w:spacing w:after="0" w:line="360" w:lineRule="auto"/>
        <w:jc w:val="both"/>
        <w:rPr>
          <w:rFonts w:ascii="Avenir Next LT Pro Light" w:hAnsi="Avenir Next LT Pro Light" w:cs="Arial"/>
          <w:sz w:val="24"/>
          <w:szCs w:val="24"/>
          <w:lang w:val="es-ES"/>
        </w:rPr>
      </w:pPr>
    </w:p>
    <w:p w14:paraId="1FFCFB5B" w14:textId="77777777" w:rsidR="00B948A0" w:rsidRPr="001B79FE" w:rsidRDefault="00B948A0" w:rsidP="00B948A0">
      <w:pPr>
        <w:spacing w:after="0" w:line="360" w:lineRule="auto"/>
        <w:jc w:val="center"/>
        <w:rPr>
          <w:rFonts w:ascii="Avenir Next LT Pro Light" w:hAnsi="Avenir Next LT Pro Light"/>
          <w:b/>
          <w:sz w:val="24"/>
          <w:szCs w:val="24"/>
        </w:rPr>
      </w:pPr>
      <w:r w:rsidRPr="001B79FE">
        <w:rPr>
          <w:rFonts w:ascii="Avenir Next LT Pro Light" w:hAnsi="Avenir Next LT Pro Light"/>
          <w:b/>
          <w:sz w:val="24"/>
          <w:szCs w:val="24"/>
        </w:rPr>
        <w:t>Tiempos de respuesta</w:t>
      </w:r>
    </w:p>
    <w:p w14:paraId="47439CE9" w14:textId="77777777" w:rsidR="00B948A0" w:rsidRPr="001B79FE" w:rsidRDefault="00B948A0" w:rsidP="00B948A0">
      <w:pPr>
        <w:spacing w:after="0" w:line="360" w:lineRule="auto"/>
        <w:jc w:val="center"/>
        <w:rPr>
          <w:rFonts w:ascii="Avenir Next LT Pro Light" w:hAnsi="Avenir Next LT Pro Light"/>
          <w:b/>
          <w:sz w:val="24"/>
          <w:szCs w:val="24"/>
        </w:rPr>
      </w:pPr>
    </w:p>
    <w:p w14:paraId="07E78218" w14:textId="77777777" w:rsidR="00B948A0" w:rsidRPr="001B79FE" w:rsidRDefault="00B948A0" w:rsidP="00B948A0">
      <w:pPr>
        <w:spacing w:after="0" w:line="360" w:lineRule="auto"/>
        <w:rPr>
          <w:rFonts w:ascii="Avenir Next LT Pro Light" w:hAnsi="Avenir Next LT Pro Light"/>
          <w:bCs/>
          <w:sz w:val="24"/>
          <w:szCs w:val="24"/>
        </w:rPr>
      </w:pPr>
      <w:r w:rsidRPr="001B79FE">
        <w:rPr>
          <w:rFonts w:ascii="Avenir Next LT Pro Light" w:hAnsi="Avenir Next LT Pro Light"/>
          <w:bCs/>
          <w:sz w:val="24"/>
          <w:szCs w:val="24"/>
        </w:rPr>
        <w:t>Atiende al cumplimiento de términos y plazos previstos en la norma jurídica aplicable, por lo que no se puede establecer un tiempo estandarizado.</w:t>
      </w:r>
    </w:p>
    <w:p w14:paraId="57769853" w14:textId="77777777" w:rsidR="00B948A0" w:rsidRPr="001B79FE" w:rsidRDefault="00B948A0" w:rsidP="00B948A0">
      <w:pPr>
        <w:spacing w:after="0" w:line="360" w:lineRule="auto"/>
        <w:rPr>
          <w:rFonts w:ascii="Avenir Next LT Pro Light" w:hAnsi="Avenir Next LT Pro Light"/>
          <w:bCs/>
          <w:sz w:val="24"/>
          <w:szCs w:val="24"/>
        </w:rPr>
      </w:pPr>
    </w:p>
    <w:p w14:paraId="7BBE9E89" w14:textId="77777777" w:rsidR="00B948A0" w:rsidRPr="001B79FE" w:rsidRDefault="00B948A0" w:rsidP="00B948A0">
      <w:pPr>
        <w:spacing w:after="0" w:line="360" w:lineRule="auto"/>
        <w:jc w:val="center"/>
        <w:rPr>
          <w:rFonts w:ascii="Avenir Next LT Pro Light" w:hAnsi="Avenir Next LT Pro Light"/>
          <w:b/>
          <w:sz w:val="24"/>
          <w:szCs w:val="24"/>
        </w:rPr>
      </w:pPr>
      <w:r w:rsidRPr="001B79FE">
        <w:rPr>
          <w:rFonts w:ascii="Avenir Next LT Pro Light" w:hAnsi="Avenir Next LT Pro Light"/>
          <w:b/>
          <w:sz w:val="24"/>
          <w:szCs w:val="24"/>
        </w:rPr>
        <w:t>Requisitos</w:t>
      </w:r>
    </w:p>
    <w:p w14:paraId="5AD4EDAC" w14:textId="77777777" w:rsidR="00B948A0" w:rsidRPr="001B79FE" w:rsidRDefault="00B948A0" w:rsidP="00B948A0">
      <w:pPr>
        <w:spacing w:after="0" w:line="240" w:lineRule="auto"/>
        <w:rPr>
          <w:rFonts w:ascii="Avenir Next LT Pro Light" w:hAnsi="Avenir Next LT Pro Light"/>
          <w:sz w:val="24"/>
          <w:szCs w:val="24"/>
        </w:rPr>
      </w:pPr>
    </w:p>
    <w:p w14:paraId="35AEBBB9" w14:textId="77777777" w:rsidR="00B948A0" w:rsidRPr="001B79FE" w:rsidRDefault="00B948A0" w:rsidP="00B948A0">
      <w:pPr>
        <w:spacing w:after="0" w:line="360" w:lineRule="auto"/>
        <w:jc w:val="both"/>
        <w:rPr>
          <w:rFonts w:ascii="Avenir Next LT Pro Light" w:hAnsi="Avenir Next LT Pro Light"/>
          <w:sz w:val="24"/>
          <w:szCs w:val="24"/>
        </w:rPr>
      </w:pPr>
      <w:r w:rsidRPr="001B79FE">
        <w:rPr>
          <w:rFonts w:ascii="Avenir Next LT Pro Light" w:hAnsi="Avenir Next LT Pro Light"/>
          <w:sz w:val="24"/>
          <w:szCs w:val="24"/>
        </w:rPr>
        <w:t>Cumplimiento a las formalidades esenciales del procedimiento analizadas en cada caso concreto.</w:t>
      </w:r>
    </w:p>
    <w:p w14:paraId="0B6472B0" w14:textId="77777777" w:rsidR="00B948A0" w:rsidRPr="001B79FE" w:rsidRDefault="00B948A0" w:rsidP="00B948A0">
      <w:pPr>
        <w:spacing w:after="0" w:line="240" w:lineRule="auto"/>
        <w:rPr>
          <w:rFonts w:ascii="Avenir Next LT Pro Light" w:hAnsi="Avenir Next LT Pro Light"/>
          <w:sz w:val="24"/>
          <w:szCs w:val="24"/>
        </w:rPr>
      </w:pPr>
    </w:p>
    <w:p w14:paraId="2790928B" w14:textId="77777777" w:rsidR="00B948A0" w:rsidRPr="001B79FE" w:rsidRDefault="00B948A0" w:rsidP="00B948A0">
      <w:pPr>
        <w:spacing w:after="0" w:line="360" w:lineRule="auto"/>
        <w:jc w:val="both"/>
        <w:rPr>
          <w:rFonts w:ascii="Avenir Next LT Pro Light" w:hAnsi="Avenir Next LT Pro Light"/>
          <w:sz w:val="24"/>
          <w:szCs w:val="24"/>
        </w:rPr>
      </w:pPr>
      <w:r w:rsidRPr="001B79FE">
        <w:rPr>
          <w:rFonts w:ascii="Avenir Next LT Pro Light" w:hAnsi="Avenir Next LT Pro Light"/>
          <w:sz w:val="24"/>
          <w:szCs w:val="24"/>
        </w:rPr>
        <w:t>El Tribunal de Justicia Administrativa de Coahuila de Zaragoza es un órgano jurisdiccional encargado de dictar sentencias o resoluciones sobre asuntos presentados para conocimiento por partes con legitimación procesal para ello, el análisis del cumplimiento de los requisitos de Ley se realiza según el caso en concreto y a lo establecido en la Ley del Procedimiento Contencioso Administrativo para el Estado de Coahuila, la Ley Orgánica del Tribunal de Justicia Administrativa de Coahuila de Zaragoza y demás legislación, normatividad y criterios aplicables en la materia.</w:t>
      </w:r>
    </w:p>
    <w:p w14:paraId="7052B8B5" w14:textId="77777777" w:rsidR="00B948A0" w:rsidRPr="001B79FE" w:rsidRDefault="00B948A0" w:rsidP="00B948A0">
      <w:pPr>
        <w:spacing w:after="0" w:line="360" w:lineRule="auto"/>
        <w:jc w:val="center"/>
        <w:rPr>
          <w:rFonts w:ascii="Avenir Next LT Pro Light" w:hAnsi="Avenir Next LT Pro Light"/>
          <w:b/>
          <w:sz w:val="24"/>
          <w:szCs w:val="24"/>
        </w:rPr>
      </w:pPr>
    </w:p>
    <w:p w14:paraId="1D71F7AA" w14:textId="77777777" w:rsidR="00DA17D2" w:rsidRDefault="00DA17D2" w:rsidP="00B948A0">
      <w:pPr>
        <w:spacing w:after="0" w:line="360" w:lineRule="auto"/>
        <w:jc w:val="center"/>
        <w:rPr>
          <w:rFonts w:ascii="Avenir Next LT Pro Light" w:hAnsi="Avenir Next LT Pro Light"/>
          <w:b/>
          <w:sz w:val="24"/>
          <w:szCs w:val="24"/>
        </w:rPr>
      </w:pPr>
    </w:p>
    <w:p w14:paraId="2F88FFAD" w14:textId="77777777" w:rsidR="00DA17D2" w:rsidRDefault="00DA17D2" w:rsidP="00B948A0">
      <w:pPr>
        <w:spacing w:after="0" w:line="360" w:lineRule="auto"/>
        <w:jc w:val="center"/>
        <w:rPr>
          <w:rFonts w:ascii="Avenir Next LT Pro Light" w:hAnsi="Avenir Next LT Pro Light"/>
          <w:b/>
          <w:sz w:val="24"/>
          <w:szCs w:val="24"/>
        </w:rPr>
      </w:pPr>
    </w:p>
    <w:p w14:paraId="6CFC4A14" w14:textId="77777777" w:rsidR="00DA17D2" w:rsidRDefault="00DA17D2" w:rsidP="00B948A0">
      <w:pPr>
        <w:spacing w:after="0" w:line="360" w:lineRule="auto"/>
        <w:jc w:val="center"/>
        <w:rPr>
          <w:rFonts w:ascii="Avenir Next LT Pro Light" w:hAnsi="Avenir Next LT Pro Light"/>
          <w:b/>
          <w:sz w:val="24"/>
          <w:szCs w:val="24"/>
        </w:rPr>
      </w:pPr>
    </w:p>
    <w:p w14:paraId="3084EC45" w14:textId="35C54BDE" w:rsidR="00B948A0" w:rsidRPr="001B79FE" w:rsidRDefault="00B948A0" w:rsidP="00B948A0">
      <w:pPr>
        <w:spacing w:after="0" w:line="360" w:lineRule="auto"/>
        <w:jc w:val="center"/>
        <w:rPr>
          <w:rFonts w:ascii="Avenir Next LT Pro Light" w:hAnsi="Avenir Next LT Pro Light"/>
          <w:b/>
          <w:sz w:val="24"/>
          <w:szCs w:val="24"/>
        </w:rPr>
      </w:pPr>
      <w:r w:rsidRPr="001B79FE">
        <w:rPr>
          <w:rFonts w:ascii="Avenir Next LT Pro Light" w:hAnsi="Avenir Next LT Pro Light"/>
          <w:b/>
          <w:sz w:val="24"/>
          <w:szCs w:val="24"/>
        </w:rPr>
        <w:t>Formatos</w:t>
      </w:r>
    </w:p>
    <w:p w14:paraId="7668D7EC" w14:textId="77777777" w:rsidR="00B948A0" w:rsidRPr="001B79FE" w:rsidRDefault="00B948A0" w:rsidP="00B948A0">
      <w:pPr>
        <w:spacing w:after="0" w:line="240" w:lineRule="auto"/>
        <w:jc w:val="both"/>
        <w:rPr>
          <w:rFonts w:ascii="Avenir Next LT Pro Light" w:hAnsi="Avenir Next LT Pro Light"/>
          <w:sz w:val="24"/>
          <w:szCs w:val="24"/>
        </w:rPr>
      </w:pPr>
    </w:p>
    <w:p w14:paraId="2F30762A" w14:textId="77777777" w:rsidR="00B948A0" w:rsidRPr="001B79FE" w:rsidRDefault="00B948A0" w:rsidP="00B948A0">
      <w:pPr>
        <w:spacing w:after="0" w:line="360" w:lineRule="auto"/>
        <w:jc w:val="both"/>
        <w:rPr>
          <w:rFonts w:ascii="Avenir Next LT Pro Light" w:hAnsi="Avenir Next LT Pro Light"/>
          <w:sz w:val="24"/>
          <w:szCs w:val="24"/>
        </w:rPr>
      </w:pPr>
      <w:r w:rsidRPr="001B79FE">
        <w:rPr>
          <w:rFonts w:ascii="Avenir Next LT Pro Light" w:hAnsi="Avenir Next LT Pro Light"/>
          <w:sz w:val="24"/>
          <w:szCs w:val="24"/>
        </w:rPr>
        <w:lastRenderedPageBreak/>
        <w:t>No existe formato preestablecido establecido en Ley como requisito para acceder a los servicios de administración de justicia.</w:t>
      </w:r>
    </w:p>
    <w:p w14:paraId="713205CB" w14:textId="77777777" w:rsidR="00B948A0" w:rsidRPr="001B79FE" w:rsidRDefault="00B948A0" w:rsidP="00B948A0">
      <w:pPr>
        <w:spacing w:after="0" w:line="240" w:lineRule="auto"/>
        <w:rPr>
          <w:rFonts w:ascii="Avenir Next LT Pro Light" w:hAnsi="Avenir Next LT Pro Light"/>
          <w:b/>
          <w:sz w:val="24"/>
          <w:szCs w:val="24"/>
        </w:rPr>
      </w:pPr>
    </w:p>
    <w:p w14:paraId="2715231A" w14:textId="77777777" w:rsidR="00B948A0" w:rsidRPr="001B79FE" w:rsidRDefault="00B948A0" w:rsidP="00B948A0">
      <w:pPr>
        <w:spacing w:line="360" w:lineRule="auto"/>
        <w:rPr>
          <w:rFonts w:ascii="Avenir Next LT Pro Light" w:hAnsi="Avenir Next LT Pro Light"/>
          <w:b/>
          <w:sz w:val="24"/>
          <w:szCs w:val="24"/>
        </w:rPr>
      </w:pPr>
      <w:r w:rsidRPr="001B79FE">
        <w:rPr>
          <w:rFonts w:ascii="Avenir Next LT Pro Light" w:hAnsi="Avenir Next LT Pro Light"/>
          <w:b/>
          <w:sz w:val="24"/>
          <w:szCs w:val="24"/>
        </w:rPr>
        <w:t>Información sobre la población o sector a quien vayan dirigidos</w:t>
      </w:r>
    </w:p>
    <w:p w14:paraId="70F054B7" w14:textId="77777777" w:rsidR="00B948A0" w:rsidRPr="001B79FE" w:rsidRDefault="00B948A0" w:rsidP="00B948A0">
      <w:pPr>
        <w:spacing w:line="360" w:lineRule="auto"/>
        <w:rPr>
          <w:rFonts w:ascii="Avenir Next LT Pro Light" w:hAnsi="Avenir Next LT Pro Light"/>
          <w:sz w:val="24"/>
          <w:szCs w:val="24"/>
        </w:rPr>
      </w:pPr>
      <w:r w:rsidRPr="001B79FE">
        <w:rPr>
          <w:rFonts w:ascii="Avenir Next LT Pro Light" w:hAnsi="Avenir Next LT Pro Light"/>
          <w:sz w:val="24"/>
          <w:szCs w:val="24"/>
        </w:rPr>
        <w:t>Ciudadanos/Servidores Públicos</w:t>
      </w:r>
    </w:p>
    <w:p w14:paraId="333F303D" w14:textId="77777777" w:rsidR="00B948A0" w:rsidRPr="001B79FE" w:rsidRDefault="00B948A0" w:rsidP="00B948A0">
      <w:pPr>
        <w:pStyle w:val="NormalWeb"/>
        <w:spacing w:before="0" w:beforeAutospacing="0" w:after="0" w:afterAutospacing="0" w:line="360" w:lineRule="auto"/>
        <w:rPr>
          <w:rFonts w:ascii="Avenir Next LT Pro Light" w:hAnsi="Avenir Next LT Pro Light"/>
          <w:b/>
          <w:bCs/>
          <w:color w:val="000000"/>
          <w:sz w:val="22"/>
          <w:szCs w:val="22"/>
        </w:rPr>
      </w:pPr>
    </w:p>
    <w:p w14:paraId="65AE8B7E" w14:textId="25B2D794" w:rsidR="00B948A0" w:rsidRDefault="00B948A0" w:rsidP="00B948A0">
      <w:pPr>
        <w:pStyle w:val="NormalWeb"/>
        <w:spacing w:before="0" w:beforeAutospacing="0" w:after="0" w:afterAutospacing="0" w:line="360" w:lineRule="auto"/>
        <w:rPr>
          <w:rFonts w:ascii="Avenir Next LT Pro Light" w:hAnsi="Avenir Next LT Pro Light"/>
          <w:b/>
          <w:bCs/>
          <w:color w:val="000000"/>
          <w:sz w:val="22"/>
          <w:szCs w:val="22"/>
        </w:rPr>
      </w:pPr>
    </w:p>
    <w:p w14:paraId="59051B69" w14:textId="33F97266" w:rsidR="00DA17D2" w:rsidRDefault="00DA17D2" w:rsidP="00B948A0">
      <w:pPr>
        <w:pStyle w:val="NormalWeb"/>
        <w:spacing w:before="0" w:beforeAutospacing="0" w:after="0" w:afterAutospacing="0" w:line="360" w:lineRule="auto"/>
        <w:rPr>
          <w:rFonts w:ascii="Avenir Next LT Pro Light" w:hAnsi="Avenir Next LT Pro Light"/>
          <w:b/>
          <w:bCs/>
          <w:color w:val="000000"/>
          <w:sz w:val="22"/>
          <w:szCs w:val="22"/>
        </w:rPr>
      </w:pPr>
    </w:p>
    <w:p w14:paraId="03A67213" w14:textId="77777777" w:rsidR="00DA17D2" w:rsidRPr="001B79FE" w:rsidRDefault="00DA17D2" w:rsidP="00B948A0">
      <w:pPr>
        <w:pStyle w:val="NormalWeb"/>
        <w:spacing w:before="0" w:beforeAutospacing="0" w:after="0" w:afterAutospacing="0" w:line="360" w:lineRule="auto"/>
        <w:rPr>
          <w:rFonts w:ascii="Avenir Next LT Pro Light" w:hAnsi="Avenir Next LT Pro Light"/>
          <w:b/>
          <w:bCs/>
          <w:color w:val="000000"/>
          <w:sz w:val="22"/>
          <w:szCs w:val="22"/>
        </w:rPr>
      </w:pPr>
    </w:p>
    <w:p w14:paraId="4EEEDA21" w14:textId="210E9FF9" w:rsidR="00B948A0" w:rsidRPr="003C37F2" w:rsidRDefault="00B948A0" w:rsidP="00B948A0">
      <w:pPr>
        <w:pStyle w:val="NormalWeb"/>
        <w:spacing w:before="0" w:beforeAutospacing="0" w:after="0" w:afterAutospacing="0" w:line="360" w:lineRule="auto"/>
        <w:rPr>
          <w:rFonts w:ascii="Avenir Next LT Pro Light" w:hAnsi="Avenir Next LT Pro Light"/>
          <w:lang w:val="es-ES"/>
        </w:rPr>
      </w:pPr>
    </w:p>
    <w:p w14:paraId="3C330253" w14:textId="77777777" w:rsidR="00B948A0" w:rsidRPr="001B79FE" w:rsidRDefault="00B948A0" w:rsidP="00B948A0">
      <w:pPr>
        <w:pStyle w:val="NormalWeb"/>
        <w:spacing w:before="0" w:beforeAutospacing="0" w:after="0" w:afterAutospacing="0" w:line="360" w:lineRule="auto"/>
        <w:rPr>
          <w:rFonts w:ascii="Avenir Next LT Pro Light" w:hAnsi="Avenir Next LT Pro Light"/>
          <w:sz w:val="22"/>
          <w:szCs w:val="22"/>
        </w:rPr>
      </w:pPr>
      <w:r w:rsidRPr="001B79FE">
        <w:rPr>
          <w:rFonts w:ascii="Avenir Next LT Pro Light" w:hAnsi="Avenir Next LT Pro Light"/>
          <w:b/>
          <w:bCs/>
          <w:color w:val="000000"/>
          <w:sz w:val="22"/>
          <w:szCs w:val="22"/>
        </w:rPr>
        <w:t>Elaborado por:</w:t>
      </w:r>
      <w:r w:rsidRPr="001B79FE">
        <w:rPr>
          <w:rFonts w:ascii="Avenir Next LT Pro Light" w:hAnsi="Avenir Next LT Pro Light"/>
          <w:color w:val="000000"/>
          <w:sz w:val="22"/>
          <w:szCs w:val="22"/>
        </w:rPr>
        <w:t xml:space="preserve"> Idelia Constanza Reyes Tamez</w:t>
      </w:r>
    </w:p>
    <w:p w14:paraId="0BECF7EE" w14:textId="77777777" w:rsidR="00B948A0" w:rsidRPr="001B79FE" w:rsidRDefault="00B948A0" w:rsidP="00B948A0">
      <w:pPr>
        <w:pStyle w:val="NormalWeb"/>
        <w:spacing w:before="0" w:beforeAutospacing="0" w:after="0" w:afterAutospacing="0" w:line="360" w:lineRule="auto"/>
        <w:rPr>
          <w:rFonts w:ascii="Avenir Next LT Pro Light" w:hAnsi="Avenir Next LT Pro Light"/>
          <w:sz w:val="22"/>
          <w:szCs w:val="22"/>
        </w:rPr>
      </w:pPr>
      <w:r w:rsidRPr="001B79FE">
        <w:rPr>
          <w:rFonts w:ascii="Avenir Next LT Pro Light" w:hAnsi="Avenir Next LT Pro Light"/>
          <w:b/>
          <w:bCs/>
          <w:color w:val="000000"/>
          <w:sz w:val="22"/>
          <w:szCs w:val="22"/>
        </w:rPr>
        <w:t>Unidad Administrativa:</w:t>
      </w:r>
      <w:r w:rsidRPr="001B79FE">
        <w:rPr>
          <w:rFonts w:ascii="Avenir Next LT Pro Light" w:hAnsi="Avenir Next LT Pro Light"/>
          <w:color w:val="000000"/>
          <w:sz w:val="22"/>
          <w:szCs w:val="22"/>
        </w:rPr>
        <w:t xml:space="preserve"> Secretaría General de Acuerdos</w:t>
      </w:r>
    </w:p>
    <w:p w14:paraId="11D87185" w14:textId="7769E291" w:rsidR="00EA76C8" w:rsidRPr="001B79FE" w:rsidRDefault="00B6078F" w:rsidP="00B948A0">
      <w:pPr>
        <w:spacing w:after="0"/>
        <w:rPr>
          <w:rFonts w:ascii="Avenir Next LT Pro Light" w:hAnsi="Avenir Next LT Pro Light" w:cs="Arial"/>
          <w:color w:val="2F5496" w:themeColor="accent1" w:themeShade="BF"/>
          <w:lang w:val="en-US"/>
        </w:rPr>
      </w:pPr>
      <w:r w:rsidRPr="001B79FE">
        <w:rPr>
          <w:rFonts w:ascii="Avenir Next LT Pro Light" w:hAnsi="Avenir Next LT Pro Light"/>
          <w:b/>
          <w:bCs/>
          <w:color w:val="000000"/>
        </w:rPr>
        <w:t>Fecha de actualización</w:t>
      </w:r>
      <w:r>
        <w:rPr>
          <w:rFonts w:ascii="Avenir Next LT Pro Light" w:hAnsi="Avenir Next LT Pro Light"/>
          <w:b/>
          <w:bCs/>
          <w:color w:val="000000"/>
        </w:rPr>
        <w:t xml:space="preserve"> y/o revisión</w:t>
      </w:r>
      <w:r w:rsidRPr="001B79FE">
        <w:rPr>
          <w:rFonts w:ascii="Avenir Next LT Pro Light" w:hAnsi="Avenir Next LT Pro Light"/>
          <w:b/>
          <w:bCs/>
          <w:color w:val="000000"/>
        </w:rPr>
        <w:t>:</w:t>
      </w:r>
      <w:r w:rsidRPr="001B79FE">
        <w:rPr>
          <w:rFonts w:ascii="Avenir Next LT Pro Light" w:hAnsi="Avenir Next LT Pro Light"/>
          <w:color w:val="000000"/>
        </w:rPr>
        <w:t xml:space="preserve"> </w:t>
      </w:r>
      <w:r>
        <w:rPr>
          <w:rFonts w:ascii="Avenir Next LT Pro Light" w:hAnsi="Avenir Next LT Pro Light"/>
          <w:lang w:val="es-ES"/>
        </w:rPr>
        <w:t>01 de octubre de 2025</w:t>
      </w:r>
    </w:p>
    <w:sectPr w:rsidR="00EA76C8" w:rsidRPr="001B79FE" w:rsidSect="00E82EB9">
      <w:headerReference w:type="even" r:id="rId7"/>
      <w:headerReference w:type="default" r:id="rId8"/>
      <w:footerReference w:type="even" r:id="rId9"/>
      <w:footerReference w:type="default" r:id="rId10"/>
      <w:headerReference w:type="first" r:id="rId11"/>
      <w:footerReference w:type="first" r:id="rId12"/>
      <w:pgSz w:w="12240" w:h="15840"/>
      <w:pgMar w:top="2625" w:right="1701" w:bottom="1417" w:left="1701"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5EEB" w14:textId="77777777" w:rsidR="00561353" w:rsidRDefault="00561353" w:rsidP="00A71679">
      <w:pPr>
        <w:spacing w:after="0" w:line="240" w:lineRule="auto"/>
      </w:pPr>
      <w:r>
        <w:separator/>
      </w:r>
    </w:p>
  </w:endnote>
  <w:endnote w:type="continuationSeparator" w:id="0">
    <w:p w14:paraId="63F62892" w14:textId="77777777" w:rsidR="00561353" w:rsidRDefault="00561353"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0D5A" w14:textId="77777777" w:rsidR="00E82EB9" w:rsidRDefault="00E82E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1F3F" w14:textId="77777777" w:rsidR="00E82EB9" w:rsidRPr="00E82EB9" w:rsidRDefault="00E82EB9" w:rsidP="00E82EB9">
    <w:pPr>
      <w:pBdr>
        <w:top w:val="single" w:sz="24" w:space="1" w:color="1F3864" w:themeColor="accent1" w:themeShade="80"/>
      </w:pBdr>
      <w:spacing w:after="0" w:line="160" w:lineRule="atLeast"/>
      <w:ind w:left="-1701" w:right="-1652"/>
      <w:jc w:val="center"/>
      <w:rPr>
        <w:rFonts w:ascii="Avenir Next LT Pro" w:eastAsia="Times New Roman" w:hAnsi="Avenir Next LT Pro" w:cs="Arial"/>
        <w:color w:val="1F3864" w:themeColor="accent1" w:themeShade="80"/>
        <w:sz w:val="16"/>
        <w:szCs w:val="16"/>
        <w:lang w:eastAsia="es-MX"/>
      </w:rPr>
    </w:pPr>
    <w:bookmarkStart w:id="0" w:name="_Hlk128124309"/>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197E9DE9" wp14:editId="3144A2B3">
          <wp:extent cx="144000" cy="144000"/>
          <wp:effectExtent l="0" t="0" r="8890" b="8890"/>
          <wp:docPr id="67" name="Gráfico 67" descr="Marcado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dor con relleno sólid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proofErr w:type="spellStart"/>
    <w:r w:rsidRPr="00E82EB9">
      <w:rPr>
        <w:rFonts w:ascii="Avenir Next LT Pro" w:eastAsia="Times New Roman" w:hAnsi="Avenir Next LT Pro" w:cs="Arial"/>
        <w:color w:val="1F3864" w:themeColor="accent1" w:themeShade="80"/>
        <w:sz w:val="16"/>
        <w:szCs w:val="16"/>
        <w:lang w:eastAsia="es-MX"/>
      </w:rPr>
      <w:t>Blvd</w:t>
    </w:r>
    <w:proofErr w:type="spellEnd"/>
    <w:r w:rsidRPr="00E82EB9">
      <w:rPr>
        <w:rFonts w:ascii="Avenir Next LT Pro" w:eastAsia="Times New Roman" w:hAnsi="Avenir Next LT Pro" w:cs="Arial"/>
        <w:color w:val="1F3864" w:themeColor="accent1" w:themeShade="80"/>
        <w:sz w:val="16"/>
        <w:szCs w:val="16"/>
        <w:lang w:eastAsia="es-MX"/>
      </w:rPr>
      <w:t xml:space="preserve">. Francisco Coss s/n, entre Purcell y </w:t>
    </w:r>
    <w:proofErr w:type="gramStart"/>
    <w:r w:rsidRPr="00E82EB9">
      <w:rPr>
        <w:rFonts w:ascii="Avenir Next LT Pro" w:eastAsia="Times New Roman" w:hAnsi="Avenir Next LT Pro" w:cs="Arial"/>
        <w:color w:val="1F3864" w:themeColor="accent1" w:themeShade="80"/>
        <w:sz w:val="16"/>
        <w:szCs w:val="16"/>
        <w:lang w:eastAsia="es-MX"/>
      </w:rPr>
      <w:t>Presidente</w:t>
    </w:r>
    <w:proofErr w:type="gramEnd"/>
    <w:r w:rsidRPr="00E82EB9">
      <w:rPr>
        <w:rFonts w:ascii="Avenir Next LT Pro" w:eastAsia="Times New Roman" w:hAnsi="Avenir Next LT Pro" w:cs="Arial"/>
        <w:color w:val="1F3864" w:themeColor="accent1" w:themeShade="80"/>
        <w:sz w:val="16"/>
        <w:szCs w:val="16"/>
        <w:lang w:eastAsia="es-MX"/>
      </w:rPr>
      <w:t xml:space="preserve"> Cárdenas, Zona Centro, C.P 25000, Saltillo, Coahuila de Zaragoza</w:t>
    </w:r>
  </w:p>
  <w:p w14:paraId="1E1A1406" w14:textId="4A41D7B8" w:rsidR="00EA76C8" w:rsidRPr="00E82EB9" w:rsidRDefault="00E82EB9" w:rsidP="00E82EB9">
    <w:pPr>
      <w:spacing w:after="0" w:line="160" w:lineRule="atLeast"/>
      <w:ind w:left="-851" w:right="-941"/>
      <w:jc w:val="center"/>
      <w:rPr>
        <w:rFonts w:ascii="Avenir Next LT Pro" w:eastAsia="Times New Roman" w:hAnsi="Avenir Next LT Pro" w:cs="Arial"/>
        <w:color w:val="1F3864" w:themeColor="accent1" w:themeShade="80"/>
        <w:sz w:val="16"/>
        <w:szCs w:val="16"/>
        <w:lang w:val="es-ES" w:eastAsia="es-MX"/>
      </w:rPr>
    </w:pP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2F0FD755" wp14:editId="38CD64FC">
          <wp:extent cx="108000" cy="108000"/>
          <wp:effectExtent l="0" t="0" r="6350" b="6350"/>
          <wp:docPr id="68" name="Gráfico 68" descr="Auricul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Auricular con relleno sólido"/>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8000" cy="108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(844) 1 23 03 10 Oficina del Tribunal </w:t>
    </w: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492B67D5" wp14:editId="7920F275">
          <wp:extent cx="180000" cy="180000"/>
          <wp:effectExtent l="0" t="0" r="0" b="0"/>
          <wp:docPr id="69" name="Gráfico 69" descr="Internet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Internet con relleno sólido"/>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 </w:t>
    </w:r>
    <w:hyperlink r:id="rId7" w:history="1">
      <w:r w:rsidRPr="00E82EB9">
        <w:rPr>
          <w:rStyle w:val="Hipervnculo"/>
          <w:rFonts w:ascii="Avenir Next LT Pro" w:eastAsia="Times New Roman" w:hAnsi="Avenir Next LT Pro" w:cs="Arial"/>
          <w:color w:val="1F3864" w:themeColor="accent1" w:themeShade="80"/>
          <w:sz w:val="16"/>
          <w:szCs w:val="16"/>
          <w:lang w:eastAsia="es-MX"/>
        </w:rPr>
        <w:t>http://www.tjacoahuila.org</w:t>
      </w:r>
    </w:hyperlink>
    <w:r w:rsidRPr="00E82EB9">
      <w:rPr>
        <w:rStyle w:val="Hipervnculo"/>
        <w:rFonts w:ascii="Avenir Next LT Pro" w:eastAsia="Times New Roman" w:hAnsi="Avenir Next LT Pro" w:cs="Arial"/>
        <w:color w:val="1F3864" w:themeColor="accent1" w:themeShade="80"/>
        <w:sz w:val="16"/>
        <w:szCs w:val="16"/>
        <w:lang w:eastAsia="es-MX"/>
      </w:rPr>
      <w:t xml:space="preserve"> </w:t>
    </w:r>
    <w:r w:rsidRPr="00E82EB9">
      <w:rPr>
        <w:noProof/>
        <w:color w:val="1F3864" w:themeColor="accent1" w:themeShade="80"/>
      </w:rPr>
      <w:drawing>
        <wp:inline distT="0" distB="0" distL="0" distR="0" wp14:anchorId="7750DF07" wp14:editId="4F7A7930">
          <wp:extent cx="180000" cy="180000"/>
          <wp:effectExtent l="0" t="0" r="0" b="0"/>
          <wp:docPr id="70" name="Gráfico 70" descr="Correo electrónic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Correo electrónico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hyperlink r:id="rId10" w:history="1">
      <w:r w:rsidRPr="00E82EB9">
        <w:rPr>
          <w:rFonts w:ascii="Avenir Next LT Pro" w:eastAsia="Times New Roman" w:hAnsi="Avenir Next LT Pro" w:cs="Arial"/>
          <w:color w:val="1F3864" w:themeColor="accent1" w:themeShade="80"/>
          <w:sz w:val="16"/>
          <w:szCs w:val="16"/>
          <w:u w:val="single"/>
          <w:lang w:eastAsia="es-MX"/>
        </w:rPr>
        <w:t>tribunaldejusticiaadministrativa@tjacoahuila.org.mx</w:t>
      </w:r>
    </w:hyperlink>
  </w:p>
  <w:bookmarkEnd w:id="0"/>
  <w:p w14:paraId="3227E1C5" w14:textId="6E1FD3F1" w:rsidR="00A71679" w:rsidRDefault="00A716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45C1" w14:textId="77777777" w:rsidR="00E82EB9" w:rsidRDefault="00E82E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51683" w14:textId="77777777" w:rsidR="00561353" w:rsidRDefault="00561353" w:rsidP="00A71679">
      <w:pPr>
        <w:spacing w:after="0" w:line="240" w:lineRule="auto"/>
      </w:pPr>
      <w:r>
        <w:separator/>
      </w:r>
    </w:p>
  </w:footnote>
  <w:footnote w:type="continuationSeparator" w:id="0">
    <w:p w14:paraId="3A553300" w14:textId="77777777" w:rsidR="00561353" w:rsidRDefault="00561353"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0301" w14:textId="77777777" w:rsidR="00E82EB9" w:rsidRDefault="00E82E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7100" w14:textId="1C451448" w:rsidR="00AA5C73" w:rsidRDefault="00AA5C73" w:rsidP="00A71679">
    <w:pPr>
      <w:pStyle w:val="Encabezado"/>
      <w:jc w:val="center"/>
    </w:pPr>
  </w:p>
  <w:tbl>
    <w:tblPr>
      <w:tblStyle w:val="Tablaconcuadrcula"/>
      <w:tblW w:w="12244" w:type="dxa"/>
      <w:tblInd w:w="-1706" w:type="dxa"/>
      <w:tblLook w:val="04A0" w:firstRow="1" w:lastRow="0" w:firstColumn="1" w:lastColumn="0" w:noHBand="0" w:noVBand="1"/>
    </w:tblPr>
    <w:tblGrid>
      <w:gridCol w:w="4535"/>
      <w:gridCol w:w="425"/>
      <w:gridCol w:w="2324"/>
      <w:gridCol w:w="425"/>
      <w:gridCol w:w="4535"/>
    </w:tblGrid>
    <w:tr w:rsidR="00CE3201" w14:paraId="72D243ED" w14:textId="77777777" w:rsidTr="00EA76C8">
      <w:tc>
        <w:tcPr>
          <w:tcW w:w="4535" w:type="dxa"/>
          <w:tcBorders>
            <w:top w:val="nil"/>
            <w:left w:val="nil"/>
            <w:bottom w:val="single" w:sz="24" w:space="0" w:color="1F3864" w:themeColor="accent1" w:themeShade="80"/>
            <w:right w:val="nil"/>
          </w:tcBorders>
        </w:tcPr>
        <w:p w14:paraId="1D810A76" w14:textId="38E7765C" w:rsidR="00CE3201" w:rsidRPr="00CE3201" w:rsidRDefault="00CE3201" w:rsidP="00CE3201">
          <w:pPr>
            <w:pStyle w:val="Encabezado"/>
            <w:rPr>
              <w:b/>
              <w:bCs/>
              <w:color w:val="2F5496" w:themeColor="accent1" w:themeShade="BF"/>
            </w:rPr>
          </w:pPr>
        </w:p>
      </w:tc>
      <w:tc>
        <w:tcPr>
          <w:tcW w:w="425" w:type="dxa"/>
          <w:tcBorders>
            <w:top w:val="nil"/>
            <w:left w:val="nil"/>
            <w:bottom w:val="nil"/>
            <w:right w:val="nil"/>
          </w:tcBorders>
        </w:tcPr>
        <w:p w14:paraId="7A7B15B9" w14:textId="77777777" w:rsidR="00CE3201" w:rsidRPr="00CE3201" w:rsidRDefault="00CE3201" w:rsidP="00A71679">
          <w:pPr>
            <w:pStyle w:val="Encabezado"/>
            <w:jc w:val="center"/>
            <w:rPr>
              <w:b/>
              <w:bCs/>
              <w:color w:val="2F5496" w:themeColor="accent1" w:themeShade="BF"/>
            </w:rPr>
          </w:pPr>
        </w:p>
      </w:tc>
      <w:tc>
        <w:tcPr>
          <w:tcW w:w="2324" w:type="dxa"/>
          <w:vMerge w:val="restart"/>
          <w:tcBorders>
            <w:top w:val="nil"/>
            <w:left w:val="nil"/>
            <w:bottom w:val="nil"/>
            <w:right w:val="nil"/>
          </w:tcBorders>
        </w:tcPr>
        <w:p w14:paraId="5EFD57A3" w14:textId="2127C980" w:rsidR="00CE3201" w:rsidRPr="00CE3201" w:rsidRDefault="00EA76C8" w:rsidP="00A71679">
          <w:pPr>
            <w:pStyle w:val="Encabezado"/>
            <w:jc w:val="center"/>
            <w:rPr>
              <w:b/>
              <w:bCs/>
              <w:color w:val="2F5496" w:themeColor="accent1" w:themeShade="BF"/>
            </w:rPr>
          </w:pPr>
          <w:r>
            <w:rPr>
              <w:noProof/>
            </w:rPr>
            <w:drawing>
              <wp:anchor distT="0" distB="0" distL="114300" distR="114300" simplePos="0" relativeHeight="251659264" behindDoc="0" locked="0" layoutInCell="1" allowOverlap="1" wp14:anchorId="44B80AF9" wp14:editId="660500FC">
                <wp:simplePos x="0" y="0"/>
                <wp:positionH relativeFrom="margin">
                  <wp:posOffset>-122085</wp:posOffset>
                </wp:positionH>
                <wp:positionV relativeFrom="paragraph">
                  <wp:posOffset>-270704</wp:posOffset>
                </wp:positionV>
                <wp:extent cx="1582237" cy="1101014"/>
                <wp:effectExtent l="0" t="0" r="0" b="4445"/>
                <wp:wrapNone/>
                <wp:docPr id="66" name="Imagen 6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237" cy="1101014"/>
                        </a:xfrm>
                        <a:prstGeom prst="rect">
                          <a:avLst/>
                        </a:prstGeom>
                      </pic:spPr>
                    </pic:pic>
                  </a:graphicData>
                </a:graphic>
                <wp14:sizeRelH relativeFrom="page">
                  <wp14:pctWidth>0</wp14:pctWidth>
                </wp14:sizeRelH>
                <wp14:sizeRelV relativeFrom="page">
                  <wp14:pctHeight>0</wp14:pctHeight>
                </wp14:sizeRelV>
              </wp:anchor>
            </w:drawing>
          </w:r>
        </w:p>
      </w:tc>
      <w:tc>
        <w:tcPr>
          <w:tcW w:w="425" w:type="dxa"/>
          <w:tcBorders>
            <w:top w:val="nil"/>
            <w:left w:val="nil"/>
            <w:bottom w:val="nil"/>
            <w:right w:val="nil"/>
          </w:tcBorders>
        </w:tcPr>
        <w:p w14:paraId="3817E4C1" w14:textId="77777777" w:rsidR="00CE3201" w:rsidRPr="00CE3201" w:rsidRDefault="00CE3201" w:rsidP="00A71679">
          <w:pPr>
            <w:pStyle w:val="Encabezado"/>
            <w:jc w:val="center"/>
            <w:rPr>
              <w:b/>
              <w:bCs/>
              <w:color w:val="2F5496" w:themeColor="accent1" w:themeShade="BF"/>
            </w:rPr>
          </w:pPr>
        </w:p>
      </w:tc>
      <w:tc>
        <w:tcPr>
          <w:tcW w:w="4535" w:type="dxa"/>
          <w:tcBorders>
            <w:top w:val="nil"/>
            <w:left w:val="nil"/>
            <w:bottom w:val="single" w:sz="24" w:space="0" w:color="1F3864"/>
            <w:right w:val="nil"/>
          </w:tcBorders>
        </w:tcPr>
        <w:p w14:paraId="07AF801B" w14:textId="71327CB7" w:rsidR="00CE3201" w:rsidRPr="00CE3201" w:rsidRDefault="00CE3201" w:rsidP="00A71679">
          <w:pPr>
            <w:pStyle w:val="Encabezado"/>
            <w:jc w:val="center"/>
            <w:rPr>
              <w:b/>
              <w:bCs/>
              <w:color w:val="2F5496" w:themeColor="accent1" w:themeShade="BF"/>
            </w:rPr>
          </w:pPr>
        </w:p>
      </w:tc>
    </w:tr>
    <w:tr w:rsidR="00CE3201" w14:paraId="0A2C8051" w14:textId="77777777" w:rsidTr="00EA76C8">
      <w:tc>
        <w:tcPr>
          <w:tcW w:w="4960" w:type="dxa"/>
          <w:gridSpan w:val="2"/>
          <w:tcBorders>
            <w:top w:val="nil"/>
            <w:left w:val="nil"/>
            <w:bottom w:val="single" w:sz="24" w:space="0" w:color="1F3864" w:themeColor="accent1" w:themeShade="80"/>
            <w:right w:val="nil"/>
          </w:tcBorders>
        </w:tcPr>
        <w:p w14:paraId="68990A01" w14:textId="02B5AEAB" w:rsidR="00CE3201" w:rsidRPr="00CE3201" w:rsidRDefault="00CE3201" w:rsidP="00A71679">
          <w:pPr>
            <w:pStyle w:val="Encabezado"/>
            <w:jc w:val="center"/>
            <w:rPr>
              <w:b/>
              <w:bCs/>
              <w:color w:val="2F5496" w:themeColor="accent1" w:themeShade="BF"/>
            </w:rPr>
          </w:pPr>
        </w:p>
      </w:tc>
      <w:tc>
        <w:tcPr>
          <w:tcW w:w="2324" w:type="dxa"/>
          <w:vMerge/>
          <w:tcBorders>
            <w:top w:val="nil"/>
            <w:left w:val="nil"/>
            <w:bottom w:val="nil"/>
            <w:right w:val="nil"/>
          </w:tcBorders>
        </w:tcPr>
        <w:p w14:paraId="5221C352" w14:textId="5A2C6394" w:rsidR="00CE3201" w:rsidRPr="00CE3201" w:rsidRDefault="00CE3201" w:rsidP="00A71679">
          <w:pPr>
            <w:pStyle w:val="Encabezado"/>
            <w:jc w:val="center"/>
            <w:rPr>
              <w:b/>
              <w:bCs/>
              <w:color w:val="2F5496" w:themeColor="accent1" w:themeShade="BF"/>
            </w:rPr>
          </w:pPr>
        </w:p>
      </w:tc>
      <w:tc>
        <w:tcPr>
          <w:tcW w:w="4960" w:type="dxa"/>
          <w:gridSpan w:val="2"/>
          <w:tcBorders>
            <w:top w:val="nil"/>
            <w:left w:val="nil"/>
            <w:bottom w:val="single" w:sz="24" w:space="0" w:color="1F3864"/>
            <w:right w:val="nil"/>
          </w:tcBorders>
        </w:tcPr>
        <w:p w14:paraId="155C1F61" w14:textId="22B48742" w:rsidR="00CE3201" w:rsidRPr="00CE3201" w:rsidRDefault="00CE3201" w:rsidP="00A71679">
          <w:pPr>
            <w:pStyle w:val="Encabezado"/>
            <w:jc w:val="center"/>
            <w:rPr>
              <w:b/>
              <w:bCs/>
              <w:color w:val="2F5496" w:themeColor="accent1" w:themeShade="BF"/>
            </w:rPr>
          </w:pPr>
        </w:p>
      </w:tc>
    </w:tr>
  </w:tbl>
  <w:p w14:paraId="0B2C0F97" w14:textId="10601101" w:rsidR="007E09E3" w:rsidRDefault="007E09E3" w:rsidP="00A71679">
    <w:pPr>
      <w:pStyle w:val="Encabezado"/>
      <w:jc w:val="center"/>
    </w:pPr>
  </w:p>
  <w:p w14:paraId="345ED68B" w14:textId="09095ECF" w:rsidR="007E09E3" w:rsidRDefault="007E09E3" w:rsidP="00A71679">
    <w:pPr>
      <w:pStyle w:val="Encabezado"/>
      <w:jc w:val="center"/>
    </w:pPr>
  </w:p>
  <w:p w14:paraId="35595F4C" w14:textId="6D2D4EDF" w:rsidR="007E09E3" w:rsidRDefault="007E09E3" w:rsidP="00A71679">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0FA3" w14:textId="77777777" w:rsidR="00E82EB9" w:rsidRDefault="00E82E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25DD6"/>
    <w:multiLevelType w:val="hybridMultilevel"/>
    <w:tmpl w:val="6FA8E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493C87"/>
    <w:multiLevelType w:val="hybridMultilevel"/>
    <w:tmpl w:val="1A7C6694"/>
    <w:lvl w:ilvl="0" w:tplc="97F2B00A">
      <w:numFmt w:val="bullet"/>
      <w:lvlText w:val="-"/>
      <w:lvlJc w:val="left"/>
      <w:pPr>
        <w:ind w:left="720" w:hanging="360"/>
      </w:pPr>
      <w:rPr>
        <w:rFonts w:ascii="Century Gothic" w:eastAsiaTheme="minorHAnsi" w:hAnsi="Century Gothic" w:cstheme="minorBidi" w:hint="default"/>
        <w:sz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DCC2ADD"/>
    <w:multiLevelType w:val="hybridMultilevel"/>
    <w:tmpl w:val="450AEB32"/>
    <w:lvl w:ilvl="0" w:tplc="AE02351E">
      <w:start w:val="1"/>
      <w:numFmt w:val="upperRoman"/>
      <w:lvlText w:val="%1."/>
      <w:lvlJc w:val="right"/>
      <w:pPr>
        <w:ind w:left="2444"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313216791">
    <w:abstractNumId w:val="1"/>
  </w:num>
  <w:num w:numId="2" w16cid:durableId="1556818215">
    <w:abstractNumId w:val="0"/>
  </w:num>
  <w:num w:numId="3" w16cid:durableId="2097746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79"/>
    <w:rsid w:val="00001ED9"/>
    <w:rsid w:val="00003A85"/>
    <w:rsid w:val="00034082"/>
    <w:rsid w:val="000500AB"/>
    <w:rsid w:val="00054018"/>
    <w:rsid w:val="000620E9"/>
    <w:rsid w:val="00087800"/>
    <w:rsid w:val="00097828"/>
    <w:rsid w:val="000C361F"/>
    <w:rsid w:val="000D0F9D"/>
    <w:rsid w:val="000D69B4"/>
    <w:rsid w:val="000F2781"/>
    <w:rsid w:val="00127CA6"/>
    <w:rsid w:val="001503AF"/>
    <w:rsid w:val="001917B4"/>
    <w:rsid w:val="0019698E"/>
    <w:rsid w:val="001B79FE"/>
    <w:rsid w:val="001D0611"/>
    <w:rsid w:val="001E7841"/>
    <w:rsid w:val="0020289D"/>
    <w:rsid w:val="0022420D"/>
    <w:rsid w:val="00275D6A"/>
    <w:rsid w:val="002E5B0C"/>
    <w:rsid w:val="002F03CC"/>
    <w:rsid w:val="002F3381"/>
    <w:rsid w:val="00300981"/>
    <w:rsid w:val="003055AE"/>
    <w:rsid w:val="0032056B"/>
    <w:rsid w:val="00353239"/>
    <w:rsid w:val="00374144"/>
    <w:rsid w:val="003741FE"/>
    <w:rsid w:val="00376420"/>
    <w:rsid w:val="003818B0"/>
    <w:rsid w:val="00385137"/>
    <w:rsid w:val="00393159"/>
    <w:rsid w:val="003B2C10"/>
    <w:rsid w:val="003B6752"/>
    <w:rsid w:val="003C199E"/>
    <w:rsid w:val="003C37F2"/>
    <w:rsid w:val="003C3898"/>
    <w:rsid w:val="003D7E9B"/>
    <w:rsid w:val="003E0822"/>
    <w:rsid w:val="00405EDD"/>
    <w:rsid w:val="00433653"/>
    <w:rsid w:val="00455911"/>
    <w:rsid w:val="00457E9F"/>
    <w:rsid w:val="00473704"/>
    <w:rsid w:val="0049694F"/>
    <w:rsid w:val="004B2ACA"/>
    <w:rsid w:val="004D760C"/>
    <w:rsid w:val="004F00D3"/>
    <w:rsid w:val="005464D3"/>
    <w:rsid w:val="00561353"/>
    <w:rsid w:val="005747D0"/>
    <w:rsid w:val="005817E5"/>
    <w:rsid w:val="005A3E58"/>
    <w:rsid w:val="005C1100"/>
    <w:rsid w:val="005F29CE"/>
    <w:rsid w:val="00677214"/>
    <w:rsid w:val="00677E14"/>
    <w:rsid w:val="006B1488"/>
    <w:rsid w:val="006E4543"/>
    <w:rsid w:val="006F0E59"/>
    <w:rsid w:val="006F23A8"/>
    <w:rsid w:val="006F6CC4"/>
    <w:rsid w:val="00746568"/>
    <w:rsid w:val="007659BF"/>
    <w:rsid w:val="0077076B"/>
    <w:rsid w:val="007A4B05"/>
    <w:rsid w:val="007B1E02"/>
    <w:rsid w:val="007B3980"/>
    <w:rsid w:val="007B4680"/>
    <w:rsid w:val="007E09E3"/>
    <w:rsid w:val="00804758"/>
    <w:rsid w:val="00807624"/>
    <w:rsid w:val="0081319F"/>
    <w:rsid w:val="0081740C"/>
    <w:rsid w:val="008260C4"/>
    <w:rsid w:val="00826357"/>
    <w:rsid w:val="008336F7"/>
    <w:rsid w:val="0084276E"/>
    <w:rsid w:val="008554B2"/>
    <w:rsid w:val="00855A3C"/>
    <w:rsid w:val="00856478"/>
    <w:rsid w:val="0088086C"/>
    <w:rsid w:val="00880C30"/>
    <w:rsid w:val="00891297"/>
    <w:rsid w:val="00891404"/>
    <w:rsid w:val="008E3BE7"/>
    <w:rsid w:val="009143E0"/>
    <w:rsid w:val="009373FD"/>
    <w:rsid w:val="00944B55"/>
    <w:rsid w:val="00961AD7"/>
    <w:rsid w:val="00984834"/>
    <w:rsid w:val="009879B2"/>
    <w:rsid w:val="009D63AE"/>
    <w:rsid w:val="00A71679"/>
    <w:rsid w:val="00A77BAA"/>
    <w:rsid w:val="00A91AE3"/>
    <w:rsid w:val="00A9538E"/>
    <w:rsid w:val="00AA492A"/>
    <w:rsid w:val="00AA5C73"/>
    <w:rsid w:val="00AE7AA0"/>
    <w:rsid w:val="00AF2038"/>
    <w:rsid w:val="00B00303"/>
    <w:rsid w:val="00B124F7"/>
    <w:rsid w:val="00B20F12"/>
    <w:rsid w:val="00B21043"/>
    <w:rsid w:val="00B216E0"/>
    <w:rsid w:val="00B6078F"/>
    <w:rsid w:val="00B948A0"/>
    <w:rsid w:val="00B96A42"/>
    <w:rsid w:val="00BA3CA2"/>
    <w:rsid w:val="00BE6508"/>
    <w:rsid w:val="00BF1894"/>
    <w:rsid w:val="00BF596D"/>
    <w:rsid w:val="00BF66AD"/>
    <w:rsid w:val="00C0566D"/>
    <w:rsid w:val="00C07DAA"/>
    <w:rsid w:val="00C109D2"/>
    <w:rsid w:val="00C44652"/>
    <w:rsid w:val="00C97E85"/>
    <w:rsid w:val="00CA423C"/>
    <w:rsid w:val="00CD0655"/>
    <w:rsid w:val="00CD181A"/>
    <w:rsid w:val="00CE3201"/>
    <w:rsid w:val="00CE57A1"/>
    <w:rsid w:val="00D20BEA"/>
    <w:rsid w:val="00D40A7D"/>
    <w:rsid w:val="00D51D45"/>
    <w:rsid w:val="00D71BF8"/>
    <w:rsid w:val="00DA17D2"/>
    <w:rsid w:val="00DD6D6E"/>
    <w:rsid w:val="00DF18F8"/>
    <w:rsid w:val="00E27EED"/>
    <w:rsid w:val="00E71425"/>
    <w:rsid w:val="00E82EB9"/>
    <w:rsid w:val="00E9254B"/>
    <w:rsid w:val="00E93487"/>
    <w:rsid w:val="00EA2C38"/>
    <w:rsid w:val="00EA76C8"/>
    <w:rsid w:val="00EB036B"/>
    <w:rsid w:val="00EB0D30"/>
    <w:rsid w:val="00EC44C3"/>
    <w:rsid w:val="00F176FA"/>
    <w:rsid w:val="00F45F9E"/>
    <w:rsid w:val="00F6121B"/>
    <w:rsid w:val="00F61EDF"/>
    <w:rsid w:val="00F7227F"/>
    <w:rsid w:val="00F90BDA"/>
    <w:rsid w:val="00F96B26"/>
    <w:rsid w:val="00F973ED"/>
    <w:rsid w:val="00FB6A65"/>
    <w:rsid w:val="00FC4380"/>
    <w:rsid w:val="00FD7E3D"/>
    <w:rsid w:val="00FF3F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5836"/>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FD7E3D"/>
    <w:pPr>
      <w:spacing w:after="160" w:line="259" w:lineRule="auto"/>
      <w:ind w:left="720"/>
      <w:contextualSpacing/>
    </w:pPr>
  </w:style>
  <w:style w:type="paragraph" w:styleId="Textodeglobo">
    <w:name w:val="Balloon Text"/>
    <w:basedOn w:val="Normal"/>
    <w:link w:val="TextodegloboCar"/>
    <w:uiPriority w:val="99"/>
    <w:semiHidden/>
    <w:unhideWhenUsed/>
    <w:rsid w:val="008076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624"/>
    <w:rPr>
      <w:rFonts w:ascii="Segoe UI" w:hAnsi="Segoe UI" w:cs="Segoe UI"/>
      <w:sz w:val="18"/>
      <w:szCs w:val="18"/>
    </w:rPr>
  </w:style>
  <w:style w:type="table" w:styleId="Tablaconcuadrcula">
    <w:name w:val="Table Grid"/>
    <w:basedOn w:val="Tablanormal"/>
    <w:uiPriority w:val="39"/>
    <w:rsid w:val="00CD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76C8"/>
    <w:rPr>
      <w:color w:val="0563C1" w:themeColor="hyperlink"/>
      <w:u w:val="single"/>
    </w:rPr>
  </w:style>
  <w:style w:type="paragraph" w:styleId="NormalWeb">
    <w:name w:val="Normal (Web)"/>
    <w:basedOn w:val="Normal"/>
    <w:uiPriority w:val="99"/>
    <w:semiHidden/>
    <w:unhideWhenUsed/>
    <w:rsid w:val="00B948A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6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hyperlink" Target="http://www.tjacoahuila.org"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hyperlink" Target="mailto:tribunaldejusticiaadministrativa@tjacoahuila.org.mx" TargetMode="External"/><Relationship Id="rId4" Type="http://schemas.openxmlformats.org/officeDocument/2006/relationships/image" Target="media/image5.svg"/><Relationship Id="rId9" Type="http://schemas.openxmlformats.org/officeDocument/2006/relationships/image" Target="media/image9.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1238</Words>
  <Characters>6813</Characters>
  <Application>Microsoft Office Word</Application>
  <DocSecurity>4</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GG</dc:creator>
  <cp:keywords/>
  <dc:description/>
  <cp:lastModifiedBy>Gabriela Perez Garza</cp:lastModifiedBy>
  <cp:revision>2</cp:revision>
  <cp:lastPrinted>2025-10-01T20:28:00Z</cp:lastPrinted>
  <dcterms:created xsi:type="dcterms:W3CDTF">2025-10-08T17:47:00Z</dcterms:created>
  <dcterms:modified xsi:type="dcterms:W3CDTF">2025-10-08T17:47:00Z</dcterms:modified>
</cp:coreProperties>
</file>