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4524" w14:textId="77777777" w:rsidR="00C457B7" w:rsidRPr="00F9199C" w:rsidRDefault="00C457B7" w:rsidP="00C457B7">
      <w:pPr>
        <w:spacing w:after="160" w:line="259" w:lineRule="auto"/>
        <w:jc w:val="center"/>
      </w:pPr>
      <w:r>
        <w:rPr>
          <w:rFonts w:ascii="Century Gothic" w:hAnsi="Century Gothic"/>
          <w:b/>
          <w:bCs/>
          <w:sz w:val="32"/>
          <w:szCs w:val="32"/>
        </w:rPr>
        <w:t>PRIMERA SALA EN MATERIA FISCAL Y ADMINISTRATIVA</w:t>
      </w:r>
    </w:p>
    <w:p w14:paraId="4AC61D44" w14:textId="77777777" w:rsidR="00C457B7" w:rsidRPr="00DC4ABE" w:rsidRDefault="00C457B7" w:rsidP="00C457B7">
      <w:pPr>
        <w:pStyle w:val="Sinespaciado"/>
        <w:rPr>
          <w:rFonts w:ascii="Century Gothic" w:hAnsi="Century Gothic"/>
          <w:b/>
          <w:bCs/>
          <w:sz w:val="8"/>
          <w:szCs w:val="8"/>
        </w:rPr>
      </w:pPr>
    </w:p>
    <w:p w14:paraId="2D5D9378" w14:textId="77777777" w:rsidR="00C457B7" w:rsidRDefault="00C457B7" w:rsidP="00C457B7">
      <w:pPr>
        <w:pStyle w:val="Sinespaciado"/>
        <w:rPr>
          <w:rFonts w:ascii="Century Gothic" w:hAnsi="Century Gothic"/>
          <w:b/>
          <w:bCs/>
          <w:sz w:val="24"/>
          <w:szCs w:val="24"/>
        </w:rPr>
      </w:pPr>
      <w:r w:rsidRPr="00A77D0E">
        <w:rPr>
          <w:rFonts w:ascii="Century Gothic" w:hAnsi="Century Gothic"/>
          <w:b/>
          <w:bCs/>
          <w:sz w:val="24"/>
          <w:szCs w:val="24"/>
        </w:rPr>
        <w:t xml:space="preserve">ARTÍCULO 34 </w:t>
      </w:r>
    </w:p>
    <w:p w14:paraId="79EF2D4B" w14:textId="77777777" w:rsidR="00C457B7" w:rsidRPr="006524B4" w:rsidRDefault="00C457B7" w:rsidP="00C457B7">
      <w:pPr>
        <w:pStyle w:val="Sinespaciado"/>
        <w:ind w:firstLine="708"/>
        <w:rPr>
          <w:rFonts w:ascii="Century Gothic" w:hAnsi="Century Gothic"/>
          <w:b/>
          <w:bCs/>
          <w:sz w:val="10"/>
          <w:szCs w:val="10"/>
        </w:rPr>
      </w:pPr>
    </w:p>
    <w:p w14:paraId="67A99A1E" w14:textId="77777777" w:rsidR="00C457B7" w:rsidRDefault="00C457B7" w:rsidP="00C457B7">
      <w:pPr>
        <w:jc w:val="both"/>
        <w:rPr>
          <w:rFonts w:ascii="Century Gothic" w:hAnsi="Century Gothic"/>
        </w:rPr>
      </w:pPr>
      <w:r w:rsidRPr="00A77D0E">
        <w:rPr>
          <w:rFonts w:ascii="Century Gothic" w:hAnsi="Century Gothic"/>
          <w:b/>
          <w:bCs/>
        </w:rPr>
        <w:t>FRACCIÓN V</w:t>
      </w:r>
      <w:r>
        <w:rPr>
          <w:rFonts w:ascii="Century Gothic" w:hAnsi="Century Gothic"/>
          <w:b/>
          <w:bCs/>
        </w:rPr>
        <w:t xml:space="preserve">.- </w:t>
      </w:r>
      <w:r w:rsidRPr="00ED0112">
        <w:rPr>
          <w:rFonts w:ascii="Century Gothic" w:hAnsi="Century Gothic"/>
        </w:rPr>
        <w:t>Los principales indicadores sobre la actividad jurisdiccional qu</w:t>
      </w:r>
      <w:r>
        <w:rPr>
          <w:rFonts w:ascii="Century Gothic" w:hAnsi="Century Gothic"/>
        </w:rPr>
        <w:t xml:space="preserve">e </w:t>
      </w:r>
      <w:r w:rsidRPr="00ED0112">
        <w:rPr>
          <w:rFonts w:ascii="Century Gothic" w:hAnsi="Century Gothic"/>
        </w:rPr>
        <w:t>deberán incluir, al menos, los asuntos iniciados, en trámite y resueltos</w:t>
      </w:r>
      <w:r>
        <w:rPr>
          <w:rFonts w:ascii="Century Gothic" w:hAnsi="Century Gothic"/>
        </w:rPr>
        <w:t>.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C457B7" w14:paraId="78F09172" w14:textId="77777777" w:rsidTr="007B1B7C">
        <w:trPr>
          <w:trHeight w:val="708"/>
        </w:trPr>
        <w:tc>
          <w:tcPr>
            <w:tcW w:w="799" w:type="dxa"/>
            <w:vAlign w:val="center"/>
          </w:tcPr>
          <w:p w14:paraId="708A651C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bookmarkStart w:id="0" w:name="_Hlk84414421"/>
            <w:r w:rsidRPr="008A5803">
              <w:rPr>
                <w:rFonts w:ascii="Century Gothic" w:hAnsi="Century Gothic"/>
              </w:rPr>
              <w:t>Año</w:t>
            </w:r>
          </w:p>
        </w:tc>
        <w:tc>
          <w:tcPr>
            <w:tcW w:w="1911" w:type="dxa"/>
            <w:vAlign w:val="center"/>
          </w:tcPr>
          <w:p w14:paraId="0855D8D0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Iniciados</w:t>
            </w:r>
          </w:p>
        </w:tc>
        <w:tc>
          <w:tcPr>
            <w:tcW w:w="2241" w:type="dxa"/>
            <w:vAlign w:val="center"/>
          </w:tcPr>
          <w:p w14:paraId="606B5DEE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Tramite</w:t>
            </w:r>
          </w:p>
        </w:tc>
        <w:tc>
          <w:tcPr>
            <w:tcW w:w="2500" w:type="dxa"/>
            <w:vAlign w:val="center"/>
          </w:tcPr>
          <w:p w14:paraId="11FF6069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Resueltos</w:t>
            </w:r>
          </w:p>
        </w:tc>
        <w:tc>
          <w:tcPr>
            <w:tcW w:w="2183" w:type="dxa"/>
            <w:vAlign w:val="center"/>
          </w:tcPr>
          <w:p w14:paraId="0D2253AB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Apelación</w:t>
            </w:r>
          </w:p>
        </w:tc>
      </w:tr>
      <w:tr w:rsidR="00C457B7" w14:paraId="26C217AB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4008C9CF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2017</w:t>
            </w:r>
          </w:p>
        </w:tc>
        <w:tc>
          <w:tcPr>
            <w:tcW w:w="1911" w:type="dxa"/>
            <w:vAlign w:val="center"/>
          </w:tcPr>
          <w:p w14:paraId="2C32ECBB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12</w:t>
            </w:r>
          </w:p>
        </w:tc>
        <w:tc>
          <w:tcPr>
            <w:tcW w:w="2241" w:type="dxa"/>
            <w:vAlign w:val="center"/>
          </w:tcPr>
          <w:p w14:paraId="38B0964E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1*</w:t>
            </w:r>
          </w:p>
        </w:tc>
        <w:tc>
          <w:tcPr>
            <w:tcW w:w="2500" w:type="dxa"/>
            <w:vAlign w:val="center"/>
          </w:tcPr>
          <w:p w14:paraId="6982F60A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11</w:t>
            </w:r>
          </w:p>
        </w:tc>
        <w:tc>
          <w:tcPr>
            <w:tcW w:w="2183" w:type="dxa"/>
            <w:vAlign w:val="center"/>
          </w:tcPr>
          <w:p w14:paraId="6025D751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C457B7" w14:paraId="1E78F5DB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7F12BB68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2018</w:t>
            </w:r>
          </w:p>
        </w:tc>
        <w:tc>
          <w:tcPr>
            <w:tcW w:w="1911" w:type="dxa"/>
            <w:vAlign w:val="center"/>
          </w:tcPr>
          <w:p w14:paraId="0CAC7F25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58</w:t>
            </w:r>
          </w:p>
        </w:tc>
        <w:tc>
          <w:tcPr>
            <w:tcW w:w="2241" w:type="dxa"/>
            <w:vAlign w:val="center"/>
          </w:tcPr>
          <w:p w14:paraId="50965361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5*</w:t>
            </w:r>
          </w:p>
        </w:tc>
        <w:tc>
          <w:tcPr>
            <w:tcW w:w="2500" w:type="dxa"/>
            <w:vAlign w:val="center"/>
          </w:tcPr>
          <w:p w14:paraId="32099F22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52</w:t>
            </w:r>
          </w:p>
        </w:tc>
        <w:tc>
          <w:tcPr>
            <w:tcW w:w="2183" w:type="dxa"/>
            <w:vAlign w:val="center"/>
          </w:tcPr>
          <w:p w14:paraId="362AAE99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C457B7" w14:paraId="1D77B832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217C96F8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2019</w:t>
            </w:r>
          </w:p>
        </w:tc>
        <w:tc>
          <w:tcPr>
            <w:tcW w:w="1911" w:type="dxa"/>
            <w:vAlign w:val="center"/>
          </w:tcPr>
          <w:p w14:paraId="43B87BB7" w14:textId="77777777" w:rsidR="00C457B7" w:rsidRPr="008E00E9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E00E9">
              <w:rPr>
                <w:rFonts w:ascii="Century Gothic" w:hAnsi="Century Gothic" w:cs="Calibri"/>
                <w:color w:val="000000"/>
              </w:rPr>
              <w:t>89</w:t>
            </w:r>
          </w:p>
        </w:tc>
        <w:tc>
          <w:tcPr>
            <w:tcW w:w="2241" w:type="dxa"/>
            <w:vAlign w:val="center"/>
          </w:tcPr>
          <w:p w14:paraId="176EEA3C" w14:textId="77777777" w:rsidR="00C457B7" w:rsidRPr="008E00E9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15</w:t>
            </w:r>
            <w:r w:rsidRPr="008E00E9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151CAF9B" w14:textId="77777777" w:rsidR="00C457B7" w:rsidRPr="008E00E9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73</w:t>
            </w:r>
          </w:p>
        </w:tc>
        <w:tc>
          <w:tcPr>
            <w:tcW w:w="2183" w:type="dxa"/>
            <w:vAlign w:val="center"/>
          </w:tcPr>
          <w:p w14:paraId="08897C71" w14:textId="77777777" w:rsidR="00C457B7" w:rsidRPr="008E00E9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C457B7" w14:paraId="0FE8975B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14E21209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2020</w:t>
            </w:r>
          </w:p>
        </w:tc>
        <w:tc>
          <w:tcPr>
            <w:tcW w:w="1911" w:type="dxa"/>
            <w:vAlign w:val="center"/>
          </w:tcPr>
          <w:p w14:paraId="3FDA9BC4" w14:textId="77777777" w:rsidR="00C457B7" w:rsidRPr="008E00E9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E00E9">
              <w:rPr>
                <w:rFonts w:ascii="Century Gothic" w:hAnsi="Century Gothic" w:cs="Calibri"/>
                <w:color w:val="000000"/>
              </w:rPr>
              <w:t>77</w:t>
            </w:r>
          </w:p>
        </w:tc>
        <w:tc>
          <w:tcPr>
            <w:tcW w:w="2241" w:type="dxa"/>
            <w:vAlign w:val="center"/>
          </w:tcPr>
          <w:p w14:paraId="40968665" w14:textId="77777777" w:rsidR="00C457B7" w:rsidRPr="008E00E9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14</w:t>
            </w:r>
            <w:r w:rsidRPr="008E00E9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69AEA283" w14:textId="77777777" w:rsidR="00C457B7" w:rsidRPr="008E00E9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60</w:t>
            </w:r>
          </w:p>
        </w:tc>
        <w:tc>
          <w:tcPr>
            <w:tcW w:w="2183" w:type="dxa"/>
            <w:vAlign w:val="center"/>
          </w:tcPr>
          <w:p w14:paraId="6B9D62EA" w14:textId="77777777" w:rsidR="00C457B7" w:rsidRPr="008E00E9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</w:tr>
      <w:tr w:rsidR="00C457B7" w14:paraId="68073D79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69034AB5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2021</w:t>
            </w:r>
          </w:p>
        </w:tc>
        <w:tc>
          <w:tcPr>
            <w:tcW w:w="1911" w:type="dxa"/>
            <w:vAlign w:val="center"/>
          </w:tcPr>
          <w:p w14:paraId="3E55FAFD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64</w:t>
            </w:r>
          </w:p>
        </w:tc>
        <w:tc>
          <w:tcPr>
            <w:tcW w:w="2241" w:type="dxa"/>
            <w:vAlign w:val="center"/>
          </w:tcPr>
          <w:p w14:paraId="038A91B5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6*</w:t>
            </w:r>
          </w:p>
        </w:tc>
        <w:tc>
          <w:tcPr>
            <w:tcW w:w="2500" w:type="dxa"/>
            <w:vAlign w:val="center"/>
          </w:tcPr>
          <w:p w14:paraId="76047F67" w14:textId="5BA3F71E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5</w:t>
            </w: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2183" w:type="dxa"/>
            <w:vAlign w:val="center"/>
          </w:tcPr>
          <w:p w14:paraId="25988A88" w14:textId="73A6C39A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C457B7" w14:paraId="1EF7621D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78CE4264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2022</w:t>
            </w:r>
          </w:p>
        </w:tc>
        <w:tc>
          <w:tcPr>
            <w:tcW w:w="1911" w:type="dxa"/>
            <w:vAlign w:val="center"/>
          </w:tcPr>
          <w:p w14:paraId="1BD5E4B3" w14:textId="77777777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75</w:t>
            </w:r>
          </w:p>
        </w:tc>
        <w:tc>
          <w:tcPr>
            <w:tcW w:w="2241" w:type="dxa"/>
            <w:vAlign w:val="center"/>
          </w:tcPr>
          <w:p w14:paraId="77B36FEE" w14:textId="77777777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4*</w:t>
            </w:r>
          </w:p>
        </w:tc>
        <w:tc>
          <w:tcPr>
            <w:tcW w:w="2500" w:type="dxa"/>
            <w:vAlign w:val="center"/>
          </w:tcPr>
          <w:p w14:paraId="39D9F38C" w14:textId="77777777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57</w:t>
            </w:r>
          </w:p>
        </w:tc>
        <w:tc>
          <w:tcPr>
            <w:tcW w:w="2183" w:type="dxa"/>
            <w:vAlign w:val="center"/>
          </w:tcPr>
          <w:p w14:paraId="796125E3" w14:textId="77777777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14</w:t>
            </w:r>
          </w:p>
        </w:tc>
      </w:tr>
      <w:tr w:rsidR="00C457B7" w14:paraId="3C141372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137BB4B3" w14:textId="77777777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2023</w:t>
            </w:r>
          </w:p>
        </w:tc>
        <w:tc>
          <w:tcPr>
            <w:tcW w:w="1911" w:type="dxa"/>
            <w:vAlign w:val="center"/>
          </w:tcPr>
          <w:p w14:paraId="0BCFF96B" w14:textId="77777777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70</w:t>
            </w:r>
          </w:p>
        </w:tc>
        <w:tc>
          <w:tcPr>
            <w:tcW w:w="2241" w:type="dxa"/>
            <w:vAlign w:val="center"/>
          </w:tcPr>
          <w:p w14:paraId="44A02ECD" w14:textId="2F5529E9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  <w:r>
              <w:rPr>
                <w:rFonts w:ascii="Century Gothic" w:hAnsi="Century Gothic" w:cs="Calibri"/>
                <w:color w:val="000000"/>
              </w:rPr>
              <w:t>1</w:t>
            </w:r>
            <w:r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50303966" w14:textId="4F9514B3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  <w:r>
              <w:rPr>
                <w:rFonts w:ascii="Century Gothic" w:hAnsi="Century Gothic" w:cs="Calibri"/>
                <w:color w:val="000000"/>
              </w:rPr>
              <w:t>7</w:t>
            </w:r>
          </w:p>
        </w:tc>
        <w:tc>
          <w:tcPr>
            <w:tcW w:w="2183" w:type="dxa"/>
            <w:vAlign w:val="center"/>
          </w:tcPr>
          <w:p w14:paraId="6516F078" w14:textId="397C5474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  <w:r>
              <w:rPr>
                <w:rFonts w:ascii="Century Gothic" w:hAnsi="Century Gothic" w:cs="Calibri"/>
                <w:color w:val="000000"/>
              </w:rPr>
              <w:t>3</w:t>
            </w:r>
          </w:p>
        </w:tc>
      </w:tr>
      <w:tr w:rsidR="00C457B7" w14:paraId="7D051CF7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693ACCCF" w14:textId="77777777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</w:t>
            </w:r>
          </w:p>
        </w:tc>
        <w:tc>
          <w:tcPr>
            <w:tcW w:w="1911" w:type="dxa"/>
            <w:vAlign w:val="center"/>
          </w:tcPr>
          <w:p w14:paraId="0FD01D95" w14:textId="77777777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72</w:t>
            </w:r>
          </w:p>
        </w:tc>
        <w:tc>
          <w:tcPr>
            <w:tcW w:w="2241" w:type="dxa"/>
            <w:vAlign w:val="center"/>
          </w:tcPr>
          <w:p w14:paraId="3E0BA4B0" w14:textId="31C25695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2500" w:type="dxa"/>
            <w:vAlign w:val="center"/>
          </w:tcPr>
          <w:p w14:paraId="5FB9B952" w14:textId="550719C6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  <w:r>
              <w:rPr>
                <w:rFonts w:ascii="Century Gothic" w:hAnsi="Century Gothic" w:cs="Calibri"/>
                <w:color w:val="000000"/>
              </w:rPr>
              <w:t>7</w:t>
            </w:r>
          </w:p>
        </w:tc>
        <w:tc>
          <w:tcPr>
            <w:tcW w:w="2183" w:type="dxa"/>
            <w:vAlign w:val="center"/>
          </w:tcPr>
          <w:p w14:paraId="73076045" w14:textId="0A1BF729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</w:p>
        </w:tc>
      </w:tr>
      <w:tr w:rsidR="00C457B7" w14:paraId="52488D7E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7762F656" w14:textId="3ADB32DA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2025</w:t>
            </w:r>
          </w:p>
        </w:tc>
        <w:tc>
          <w:tcPr>
            <w:tcW w:w="1911" w:type="dxa"/>
            <w:vAlign w:val="center"/>
          </w:tcPr>
          <w:p w14:paraId="2A914125" w14:textId="063AAD3D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241" w:type="dxa"/>
            <w:vAlign w:val="center"/>
          </w:tcPr>
          <w:p w14:paraId="217D04AE" w14:textId="1414C10C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8</w:t>
            </w:r>
          </w:p>
        </w:tc>
        <w:tc>
          <w:tcPr>
            <w:tcW w:w="2500" w:type="dxa"/>
            <w:vAlign w:val="center"/>
          </w:tcPr>
          <w:p w14:paraId="542951B0" w14:textId="619AB9B7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-</w:t>
            </w:r>
          </w:p>
        </w:tc>
        <w:tc>
          <w:tcPr>
            <w:tcW w:w="2183" w:type="dxa"/>
            <w:vAlign w:val="center"/>
          </w:tcPr>
          <w:p w14:paraId="502FBBE8" w14:textId="6DE5A281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-</w:t>
            </w:r>
          </w:p>
        </w:tc>
      </w:tr>
    </w:tbl>
    <w:bookmarkEnd w:id="0"/>
    <w:p w14:paraId="48353122" w14:textId="77777777" w:rsidR="00C457B7" w:rsidRPr="00D7604D" w:rsidRDefault="00C457B7" w:rsidP="00C457B7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 w:rsidRPr="00D7604D">
        <w:rPr>
          <w:rFonts w:ascii="Century Gothic" w:hAnsi="Century Gothic"/>
          <w:b/>
          <w:bCs/>
          <w:sz w:val="18"/>
          <w:szCs w:val="18"/>
        </w:rPr>
        <w:tab/>
        <w:t xml:space="preserve">*2018: </w:t>
      </w:r>
      <w:r w:rsidRPr="00D7604D">
        <w:rPr>
          <w:rFonts w:ascii="Century Gothic" w:hAnsi="Century Gothic"/>
          <w:sz w:val="18"/>
          <w:szCs w:val="18"/>
        </w:rPr>
        <w:t xml:space="preserve">Dentro de los cuales </w:t>
      </w:r>
      <w:r>
        <w:rPr>
          <w:rFonts w:ascii="Century Gothic" w:hAnsi="Century Gothic"/>
          <w:b/>
          <w:bCs/>
          <w:sz w:val="18"/>
          <w:szCs w:val="18"/>
        </w:rPr>
        <w:t>5</w:t>
      </w:r>
      <w:r w:rsidRPr="00D7604D">
        <w:rPr>
          <w:rFonts w:ascii="Century Gothic" w:hAnsi="Century Gothic"/>
          <w:sz w:val="18"/>
          <w:szCs w:val="18"/>
        </w:rPr>
        <w:t xml:space="preserve"> expedientes están en sentencia firme y en fase de cumplimiento</w:t>
      </w:r>
    </w:p>
    <w:p w14:paraId="3BAAB381" w14:textId="77777777" w:rsidR="00C457B7" w:rsidRPr="00D7604D" w:rsidRDefault="00C457B7" w:rsidP="00C457B7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 w:rsidRPr="00D7604D">
        <w:rPr>
          <w:rFonts w:ascii="Century Gothic" w:hAnsi="Century Gothic"/>
          <w:sz w:val="18"/>
          <w:szCs w:val="18"/>
        </w:rPr>
        <w:tab/>
        <w:t>*</w:t>
      </w:r>
      <w:r w:rsidRPr="00D7604D">
        <w:rPr>
          <w:rFonts w:ascii="Century Gothic" w:hAnsi="Century Gothic"/>
          <w:b/>
          <w:bCs/>
          <w:sz w:val="18"/>
          <w:szCs w:val="18"/>
        </w:rPr>
        <w:t>2019:</w:t>
      </w:r>
      <w:r w:rsidRPr="00D7604D">
        <w:rPr>
          <w:rFonts w:ascii="Century Gothic" w:hAnsi="Century Gothic"/>
          <w:sz w:val="18"/>
          <w:szCs w:val="18"/>
        </w:rPr>
        <w:t xml:space="preserve"> Dentro de los cuales </w:t>
      </w:r>
      <w:r>
        <w:rPr>
          <w:rFonts w:ascii="Century Gothic" w:hAnsi="Century Gothic"/>
          <w:b/>
          <w:bCs/>
          <w:sz w:val="18"/>
          <w:szCs w:val="18"/>
        </w:rPr>
        <w:t>11</w:t>
      </w:r>
      <w:r w:rsidRPr="00D7604D">
        <w:rPr>
          <w:rFonts w:ascii="Century Gothic" w:hAnsi="Century Gothic"/>
          <w:sz w:val="18"/>
          <w:szCs w:val="18"/>
        </w:rPr>
        <w:t xml:space="preserve"> expedientes están en sentencia firme y en fase de cumplimiento </w:t>
      </w:r>
    </w:p>
    <w:p w14:paraId="1EB520A6" w14:textId="77777777" w:rsidR="00C457B7" w:rsidRPr="00D7604D" w:rsidRDefault="00C457B7" w:rsidP="00C457B7">
      <w:pPr>
        <w:pStyle w:val="Sinespaciado"/>
        <w:tabs>
          <w:tab w:val="left" w:pos="3615"/>
        </w:tabs>
        <w:jc w:val="both"/>
        <w:rPr>
          <w:rFonts w:ascii="Century Gothic" w:hAnsi="Century Gothic"/>
          <w:b/>
          <w:bCs/>
          <w:sz w:val="18"/>
          <w:szCs w:val="18"/>
        </w:rPr>
      </w:pPr>
      <w:r w:rsidRPr="00D7604D">
        <w:rPr>
          <w:rFonts w:ascii="Century Gothic" w:hAnsi="Century Gothic"/>
          <w:b/>
          <w:bCs/>
          <w:sz w:val="18"/>
          <w:szCs w:val="18"/>
        </w:rPr>
        <w:t>*2020</w:t>
      </w:r>
      <w:r w:rsidRPr="00D7604D">
        <w:rPr>
          <w:rFonts w:ascii="Century Gothic" w:hAnsi="Century Gothic"/>
          <w:sz w:val="18"/>
          <w:szCs w:val="18"/>
        </w:rPr>
        <w:t xml:space="preserve">: Dentro de los cuales </w:t>
      </w:r>
      <w:r>
        <w:rPr>
          <w:rFonts w:ascii="Century Gothic" w:hAnsi="Century Gothic"/>
          <w:b/>
          <w:bCs/>
          <w:sz w:val="18"/>
          <w:szCs w:val="18"/>
        </w:rPr>
        <w:t>9</w:t>
      </w:r>
      <w:r w:rsidRPr="00D7604D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D7604D">
        <w:rPr>
          <w:rFonts w:ascii="Century Gothic" w:hAnsi="Century Gothic"/>
          <w:sz w:val="18"/>
          <w:szCs w:val="18"/>
        </w:rPr>
        <w:t xml:space="preserve">expedientes están en sentencia firme y en fase de cumplimiento y </w:t>
      </w:r>
      <w:r>
        <w:rPr>
          <w:rFonts w:ascii="Century Gothic" w:hAnsi="Century Gothic"/>
          <w:sz w:val="18"/>
          <w:szCs w:val="18"/>
        </w:rPr>
        <w:t>1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D7604D">
        <w:rPr>
          <w:rFonts w:ascii="Century Gothic" w:hAnsi="Century Gothic"/>
          <w:sz w:val="18"/>
          <w:szCs w:val="18"/>
        </w:rPr>
        <w:t xml:space="preserve">expedientes en amparo.  </w:t>
      </w:r>
    </w:p>
    <w:p w14:paraId="25B25068" w14:textId="77777777" w:rsidR="00C457B7" w:rsidRDefault="00C457B7" w:rsidP="00C457B7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 w:rsidRPr="00D7604D">
        <w:rPr>
          <w:rFonts w:ascii="Century Gothic" w:hAnsi="Century Gothic"/>
          <w:sz w:val="18"/>
          <w:szCs w:val="18"/>
        </w:rPr>
        <w:tab/>
      </w:r>
      <w:r w:rsidRPr="00D7604D">
        <w:rPr>
          <w:rFonts w:ascii="Century Gothic" w:hAnsi="Century Gothic"/>
          <w:b/>
          <w:bCs/>
          <w:sz w:val="18"/>
          <w:szCs w:val="18"/>
        </w:rPr>
        <w:t>*2021</w:t>
      </w:r>
      <w:r w:rsidRPr="00D7604D">
        <w:rPr>
          <w:rFonts w:ascii="Century Gothic" w:hAnsi="Century Gothic"/>
          <w:sz w:val="18"/>
          <w:szCs w:val="18"/>
        </w:rPr>
        <w:t xml:space="preserve">: Dentro de los cuales </w:t>
      </w:r>
      <w:r>
        <w:rPr>
          <w:rFonts w:ascii="Century Gothic" w:hAnsi="Century Gothic"/>
          <w:b/>
          <w:bCs/>
          <w:sz w:val="18"/>
          <w:szCs w:val="18"/>
        </w:rPr>
        <w:t>3</w:t>
      </w:r>
      <w:r w:rsidRPr="00D7604D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D7604D">
        <w:rPr>
          <w:rFonts w:ascii="Century Gothic" w:hAnsi="Century Gothic"/>
          <w:sz w:val="18"/>
          <w:szCs w:val="18"/>
        </w:rPr>
        <w:t>expedientes están en sentencia firme y en fase de cumplimiento</w:t>
      </w:r>
      <w:r>
        <w:rPr>
          <w:rFonts w:ascii="Century Gothic" w:hAnsi="Century Gothic"/>
          <w:sz w:val="18"/>
          <w:szCs w:val="18"/>
        </w:rPr>
        <w:t>.</w:t>
      </w:r>
    </w:p>
    <w:p w14:paraId="44C35FED" w14:textId="77777777" w:rsidR="00C457B7" w:rsidRDefault="00C457B7" w:rsidP="00C457B7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ab/>
        <w:t>*</w:t>
      </w:r>
      <w:r w:rsidRPr="00D7604D">
        <w:rPr>
          <w:rFonts w:ascii="Century Gothic" w:hAnsi="Century Gothic"/>
          <w:b/>
          <w:bCs/>
          <w:sz w:val="18"/>
          <w:szCs w:val="18"/>
        </w:rPr>
        <w:t>202</w:t>
      </w:r>
      <w:r>
        <w:rPr>
          <w:rFonts w:ascii="Century Gothic" w:hAnsi="Century Gothic"/>
          <w:b/>
          <w:bCs/>
          <w:sz w:val="18"/>
          <w:szCs w:val="18"/>
        </w:rPr>
        <w:t>2</w:t>
      </w:r>
      <w:r w:rsidRPr="00D7604D">
        <w:rPr>
          <w:rFonts w:ascii="Century Gothic" w:hAnsi="Century Gothic"/>
          <w:sz w:val="18"/>
          <w:szCs w:val="18"/>
        </w:rPr>
        <w:t xml:space="preserve">: Dentro de los cuales </w:t>
      </w:r>
      <w:r>
        <w:rPr>
          <w:rFonts w:ascii="Century Gothic" w:hAnsi="Century Gothic"/>
          <w:b/>
          <w:bCs/>
          <w:sz w:val="18"/>
          <w:szCs w:val="18"/>
        </w:rPr>
        <w:t>1</w:t>
      </w:r>
      <w:r>
        <w:rPr>
          <w:rFonts w:ascii="Century Gothic" w:hAnsi="Century Gothic"/>
          <w:sz w:val="18"/>
          <w:szCs w:val="18"/>
        </w:rPr>
        <w:t xml:space="preserve"> </w:t>
      </w:r>
      <w:r w:rsidRPr="00D7604D">
        <w:rPr>
          <w:rFonts w:ascii="Century Gothic" w:hAnsi="Century Gothic"/>
          <w:sz w:val="18"/>
          <w:szCs w:val="18"/>
        </w:rPr>
        <w:t>expedientes están en sentencia firme y en fase de cumplimiento</w:t>
      </w:r>
      <w:r>
        <w:rPr>
          <w:rFonts w:ascii="Century Gothic" w:hAnsi="Century Gothic"/>
          <w:sz w:val="18"/>
          <w:szCs w:val="18"/>
        </w:rPr>
        <w:t>.</w:t>
      </w:r>
    </w:p>
    <w:p w14:paraId="1643DF24" w14:textId="77777777" w:rsidR="00C457B7" w:rsidRDefault="00C457B7" w:rsidP="00C457B7">
      <w:pPr>
        <w:pStyle w:val="Sinespaciado"/>
        <w:tabs>
          <w:tab w:val="left" w:pos="3615"/>
        </w:tabs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</w:t>
      </w:r>
      <w:r w:rsidRPr="0008285F">
        <w:rPr>
          <w:rFonts w:ascii="Century Gothic" w:hAnsi="Century Gothic"/>
          <w:b/>
          <w:bCs/>
          <w:sz w:val="18"/>
          <w:szCs w:val="18"/>
        </w:rPr>
        <w:t>2023:</w:t>
      </w:r>
      <w:r>
        <w:rPr>
          <w:rFonts w:ascii="Century Gothic" w:hAnsi="Century Gothic"/>
          <w:sz w:val="18"/>
          <w:szCs w:val="18"/>
        </w:rPr>
        <w:t xml:space="preserve"> Dentro de los cuales </w:t>
      </w:r>
      <w:r w:rsidRPr="00DC4ABE">
        <w:rPr>
          <w:rFonts w:ascii="Century Gothic" w:hAnsi="Century Gothic"/>
          <w:b/>
          <w:bCs/>
          <w:sz w:val="18"/>
          <w:szCs w:val="18"/>
        </w:rPr>
        <w:t>1</w:t>
      </w:r>
      <w:r>
        <w:rPr>
          <w:rFonts w:ascii="Century Gothic" w:hAnsi="Century Gothic"/>
          <w:sz w:val="18"/>
          <w:szCs w:val="18"/>
        </w:rPr>
        <w:t xml:space="preserve"> expediente fue remitido a esta Sala por acumulación y </w:t>
      </w:r>
      <w:r w:rsidRPr="00DC4ABE">
        <w:rPr>
          <w:rFonts w:ascii="Century Gothic" w:hAnsi="Century Gothic"/>
          <w:b/>
          <w:bCs/>
          <w:sz w:val="18"/>
          <w:szCs w:val="18"/>
        </w:rPr>
        <w:t>1</w:t>
      </w:r>
      <w:r>
        <w:rPr>
          <w:rFonts w:ascii="Century Gothic" w:hAnsi="Century Gothic"/>
          <w:sz w:val="18"/>
          <w:szCs w:val="18"/>
        </w:rPr>
        <w:t xml:space="preserve"> expediente en amparo. 1 expediente en sentencia firme y fase de cumplimiento.</w:t>
      </w:r>
    </w:p>
    <w:p w14:paraId="44D42BF7" w14:textId="77777777" w:rsidR="00C457B7" w:rsidRDefault="00C457B7" w:rsidP="00C457B7">
      <w:pPr>
        <w:pStyle w:val="Sinespaciado"/>
        <w:tabs>
          <w:tab w:val="left" w:pos="3615"/>
        </w:tabs>
        <w:jc w:val="both"/>
        <w:rPr>
          <w:rFonts w:ascii="Century Gothic" w:hAnsi="Century Gothic"/>
          <w:sz w:val="20"/>
          <w:szCs w:val="20"/>
        </w:rPr>
      </w:pPr>
    </w:p>
    <w:p w14:paraId="1AA76BF0" w14:textId="42DFE666" w:rsidR="00C457B7" w:rsidRPr="008A5803" w:rsidRDefault="00C457B7" w:rsidP="00C457B7">
      <w:pPr>
        <w:pStyle w:val="Sinespaciado"/>
        <w:tabs>
          <w:tab w:val="left" w:pos="3615"/>
        </w:tabs>
        <w:spacing w:line="360" w:lineRule="auto"/>
        <w:ind w:hanging="1134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0"/>
          <w:szCs w:val="20"/>
        </w:rPr>
        <w:tab/>
      </w:r>
      <w:r w:rsidRPr="008A5803">
        <w:rPr>
          <w:rFonts w:ascii="Century Gothic" w:hAnsi="Century Gothic"/>
          <w:sz w:val="21"/>
          <w:szCs w:val="21"/>
        </w:rPr>
        <w:t xml:space="preserve">Fecha de actualización: </w:t>
      </w:r>
      <w:r>
        <w:rPr>
          <w:rFonts w:ascii="Century Gothic" w:hAnsi="Century Gothic"/>
          <w:sz w:val="21"/>
          <w:szCs w:val="21"/>
        </w:rPr>
        <w:t>04 de febrero 2025</w:t>
      </w:r>
    </w:p>
    <w:p w14:paraId="095F0927" w14:textId="22969CE4" w:rsidR="00EA1EDA" w:rsidRPr="00C457B7" w:rsidRDefault="00C457B7" w:rsidP="00C457B7">
      <w:pPr>
        <w:tabs>
          <w:tab w:val="left" w:pos="1080"/>
        </w:tabs>
        <w:spacing w:after="0"/>
        <w:rPr>
          <w:rFonts w:ascii="Avenir Next LT Pro Light" w:hAnsi="Avenir Next LT Pro Light" w:cs="Arial"/>
          <w:color w:val="0F4761" w:themeColor="accent1" w:themeShade="BF"/>
        </w:rPr>
      </w:pPr>
      <w:r>
        <w:rPr>
          <w:rFonts w:ascii="Avenir Next LT Pro Light" w:hAnsi="Avenir Next LT Pro Light" w:cs="Arial"/>
          <w:color w:val="0F4761" w:themeColor="accent1" w:themeShade="BF"/>
        </w:rPr>
        <w:t>Información extraída del informe interno mensual de la Primera Sala</w:t>
      </w:r>
    </w:p>
    <w:sectPr w:rsidR="00EA1EDA" w:rsidRPr="00C457B7" w:rsidSect="00C457B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BDD8" w14:textId="77777777" w:rsidR="00C457B7" w:rsidRDefault="00C457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DDFE3" w14:textId="77777777" w:rsidR="00C457B7" w:rsidRPr="00E82EB9" w:rsidRDefault="00C457B7" w:rsidP="00E82EB9">
    <w:pPr>
      <w:pBdr>
        <w:top w:val="single" w:sz="24" w:space="1" w:color="0A2F41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</w:pPr>
    <w:bookmarkStart w:id="1" w:name="_Hlk128124309"/>
    <w:r w:rsidRPr="00E82EB9">
      <w:rPr>
        <w:rFonts w:ascii="Avenir Next LT Pro" w:eastAsia="Times New Roman" w:hAnsi="Avenir Next LT Pro" w:cs="Arial"/>
        <w:noProof/>
        <w:color w:val="0A2F41" w:themeColor="accent1" w:themeShade="80"/>
        <w:sz w:val="16"/>
        <w:szCs w:val="16"/>
        <w:lang w:eastAsia="es-MX"/>
      </w:rPr>
      <w:drawing>
        <wp:inline distT="0" distB="0" distL="0" distR="0" wp14:anchorId="624F76E0" wp14:editId="1D906A8F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5782E4E6" w14:textId="77777777" w:rsidR="00C457B7" w:rsidRPr="00E82EB9" w:rsidRDefault="00C457B7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0A2F41" w:themeColor="accent1" w:themeShade="80"/>
        <w:sz w:val="16"/>
        <w:szCs w:val="16"/>
        <w:lang w:eastAsia="es-MX"/>
      </w:rPr>
      <w:drawing>
        <wp:inline distT="0" distB="0" distL="0" distR="0" wp14:anchorId="4854BB1A" wp14:editId="759AB566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0A2F41" w:themeColor="accent1" w:themeShade="80"/>
        <w:sz w:val="16"/>
        <w:szCs w:val="16"/>
        <w:lang w:eastAsia="es-MX"/>
      </w:rPr>
      <w:drawing>
        <wp:inline distT="0" distB="0" distL="0" distR="0" wp14:anchorId="4B2E0BE8" wp14:editId="408B94E1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0A2F41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0A2F41" w:themeColor="accent1" w:themeShade="80"/>
      </w:rPr>
      <w:drawing>
        <wp:inline distT="0" distB="0" distL="0" distR="0" wp14:anchorId="45DB4E29" wp14:editId="09524D3F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0A2F41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1"/>
  <w:p w14:paraId="539438CD" w14:textId="77777777" w:rsidR="00C457B7" w:rsidRDefault="00C457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5DBB" w14:textId="77777777" w:rsidR="00C457B7" w:rsidRDefault="00C457B7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51C8" w14:textId="77777777" w:rsidR="00C457B7" w:rsidRDefault="00C457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4FBFB" w14:textId="77777777" w:rsidR="00C457B7" w:rsidRDefault="00C457B7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20091990" w14:textId="77777777" w:rsidTr="00EA76C8">
      <w:tc>
        <w:tcPr>
          <w:tcW w:w="4535" w:type="dxa"/>
          <w:tcBorders>
            <w:top w:val="nil"/>
            <w:left w:val="nil"/>
            <w:bottom w:val="single" w:sz="24" w:space="0" w:color="0A2F41" w:themeColor="accent1" w:themeShade="80"/>
            <w:right w:val="nil"/>
          </w:tcBorders>
        </w:tcPr>
        <w:p w14:paraId="7E737AEF" w14:textId="77777777" w:rsidR="00C457B7" w:rsidRPr="00CE3201" w:rsidRDefault="00C457B7" w:rsidP="00CE3201">
          <w:pPr>
            <w:pStyle w:val="Encabezado"/>
            <w:rPr>
              <w:b/>
              <w:bCs/>
              <w:color w:val="0F4761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2F403037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C867E87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24271E" wp14:editId="3CFD73C7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5EB0E4FF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434DF051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</w:p>
      </w:tc>
    </w:tr>
    <w:tr w:rsidR="00CE3201" w14:paraId="544B5D2B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0A2F41" w:themeColor="accent1" w:themeShade="80"/>
            <w:right w:val="nil"/>
          </w:tcBorders>
        </w:tcPr>
        <w:p w14:paraId="18265D64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12D98206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3D5DD89A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</w:p>
      </w:tc>
    </w:tr>
  </w:tbl>
  <w:p w14:paraId="6A421090" w14:textId="77777777" w:rsidR="00C457B7" w:rsidRDefault="00C457B7" w:rsidP="00A71679">
    <w:pPr>
      <w:pStyle w:val="Encabezado"/>
      <w:jc w:val="center"/>
    </w:pPr>
  </w:p>
  <w:p w14:paraId="03824B45" w14:textId="77777777" w:rsidR="00C457B7" w:rsidRDefault="00C457B7" w:rsidP="00A71679">
    <w:pPr>
      <w:pStyle w:val="Encabezado"/>
      <w:jc w:val="center"/>
    </w:pPr>
  </w:p>
  <w:p w14:paraId="388E3935" w14:textId="77777777" w:rsidR="00C457B7" w:rsidRDefault="00C457B7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99BDB" w14:textId="77777777" w:rsidR="00C457B7" w:rsidRDefault="00C457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B7"/>
    <w:rsid w:val="0026600E"/>
    <w:rsid w:val="00C457B7"/>
    <w:rsid w:val="00EA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BD8F6"/>
  <w15:chartTrackingRefBased/>
  <w15:docId w15:val="{6077F623-3C45-44FF-9BAE-23DA6E71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7B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457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57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57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57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57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57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57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57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57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5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5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5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57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57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57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57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57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57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5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45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57B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45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57B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457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57B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457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5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57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57B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45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7B7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45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7B7"/>
    <w:rPr>
      <w:kern w:val="0"/>
      <w:sz w:val="22"/>
      <w:szCs w:val="22"/>
      <w14:ligatures w14:val="none"/>
    </w:rPr>
  </w:style>
  <w:style w:type="table" w:styleId="Tablaconcuadrcula">
    <w:name w:val="Table Grid"/>
    <w:basedOn w:val="Tablanormal"/>
    <w:uiPriority w:val="39"/>
    <w:rsid w:val="00C457B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457B7"/>
    <w:rPr>
      <w:color w:val="467886" w:themeColor="hyperlink"/>
      <w:u w:val="single"/>
    </w:rPr>
  </w:style>
  <w:style w:type="paragraph" w:styleId="Sinespaciado">
    <w:name w:val="No Spacing"/>
    <w:uiPriority w:val="1"/>
    <w:qFormat/>
    <w:rsid w:val="00C457B7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Liliana Aguirre Guerrero</dc:creator>
  <cp:keywords/>
  <dc:description/>
  <cp:lastModifiedBy>Marcela Liliana Aguirre Guerrero</cp:lastModifiedBy>
  <cp:revision>1</cp:revision>
  <dcterms:created xsi:type="dcterms:W3CDTF">2025-02-07T19:59:00Z</dcterms:created>
  <dcterms:modified xsi:type="dcterms:W3CDTF">2025-02-07T20:02:00Z</dcterms:modified>
</cp:coreProperties>
</file>